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sz w:val="32"/>
          <w:szCs w:val="32"/>
        </w:rPr>
      </w:pPr>
      <w:bookmarkStart w:id="25" w:name="_GoBack"/>
      <w:bookmarkEnd w:id="25"/>
      <w:r>
        <w:rPr>
          <w:rFonts w:hint="eastAsia" w:ascii="仿宋" w:hAnsi="仿宋" w:eastAsia="仿宋"/>
          <w:b/>
          <w:bCs/>
          <w:sz w:val="32"/>
          <w:szCs w:val="32"/>
        </w:rPr>
        <w:t>附件：罗湖法院监狱在线庭审系统设备采购项目</w:t>
      </w:r>
      <w:r>
        <w:rPr>
          <w:rFonts w:hint="eastAsia" w:ascii="仿宋" w:hAnsi="仿宋" w:eastAsia="仿宋" w:cs="Arial"/>
          <w:b/>
          <w:sz w:val="32"/>
          <w:szCs w:val="32"/>
        </w:rPr>
        <w:t>需求</w:t>
      </w:r>
    </w:p>
    <w:p>
      <w:pPr>
        <w:keepNext/>
        <w:keepLines/>
        <w:widowControl/>
        <w:adjustRightInd w:val="0"/>
        <w:snapToGrid w:val="0"/>
        <w:outlineLvl w:val="0"/>
        <w:rPr>
          <w:rFonts w:ascii="仿宋" w:hAnsi="仿宋" w:eastAsia="仿宋" w:cs="Times New Roman"/>
          <w:b/>
          <w:kern w:val="0"/>
          <w:sz w:val="32"/>
          <w:szCs w:val="32"/>
        </w:rPr>
      </w:pPr>
      <w:bookmarkStart w:id="0" w:name="_Toc15596465"/>
      <w:bookmarkStart w:id="1" w:name="_Toc16721700"/>
      <w:bookmarkStart w:id="2" w:name="_Toc724793523"/>
      <w:r>
        <w:rPr>
          <w:rFonts w:hint="eastAsia" w:ascii="仿宋" w:hAnsi="仿宋" w:eastAsia="仿宋" w:cs="Times New Roman"/>
          <w:b/>
          <w:kern w:val="0"/>
          <w:sz w:val="32"/>
          <w:szCs w:val="32"/>
        </w:rPr>
        <w:t>系统功能</w:t>
      </w:r>
      <w:bookmarkEnd w:id="0"/>
      <w:r>
        <w:rPr>
          <w:rFonts w:hint="eastAsia" w:ascii="仿宋" w:hAnsi="仿宋" w:eastAsia="仿宋" w:cs="Times New Roman"/>
          <w:b/>
          <w:kern w:val="0"/>
          <w:sz w:val="32"/>
          <w:szCs w:val="32"/>
        </w:rPr>
        <w:t>要求</w:t>
      </w:r>
      <w:bookmarkEnd w:id="1"/>
      <w:bookmarkEnd w:id="2"/>
    </w:p>
    <w:p>
      <w:pPr>
        <w:keepNext/>
        <w:keepLines/>
        <w:widowControl/>
        <w:adjustRightInd w:val="0"/>
        <w:snapToGrid w:val="0"/>
        <w:jc w:val="center"/>
        <w:outlineLvl w:val="1"/>
        <w:rPr>
          <w:rFonts w:ascii="仿宋" w:hAnsi="仿宋" w:eastAsia="仿宋" w:cs="Times New Roman"/>
          <w:b/>
          <w:kern w:val="0"/>
          <w:sz w:val="32"/>
          <w:szCs w:val="32"/>
        </w:rPr>
      </w:pPr>
      <w:bookmarkStart w:id="3" w:name="_Toc518235034"/>
      <w:r>
        <w:rPr>
          <w:rFonts w:hint="eastAsia" w:ascii="仿宋" w:hAnsi="仿宋" w:eastAsia="仿宋" w:cs="Times New Roman"/>
          <w:b/>
          <w:kern w:val="0"/>
          <w:sz w:val="32"/>
          <w:szCs w:val="32"/>
        </w:rPr>
        <w:t>在线庭审流程</w:t>
      </w:r>
      <w:bookmarkEnd w:id="3"/>
    </w:p>
    <w:p>
      <w:pPr>
        <w:widowControl/>
        <w:adjustRightInd w:val="0"/>
        <w:snapToGrid w:val="0"/>
        <w:jc w:val="center"/>
        <w:rPr>
          <w:rFonts w:ascii="宋体" w:hAnsi="宋体" w:eastAsia="宋体" w:cs="Times New Roman"/>
          <w:kern w:val="0"/>
          <w:sz w:val="28"/>
          <w:szCs w:val="28"/>
        </w:rPr>
      </w:pPr>
      <w:r>
        <w:rPr>
          <w:rFonts w:ascii="宋体" w:hAnsi="宋体" w:eastAsia="宋体" w:cs="Times New Roman"/>
          <w:kern w:val="0"/>
          <w:sz w:val="24"/>
          <w:szCs w:val="24"/>
        </w:rPr>
        <w:drawing>
          <wp:inline distT="0" distB="0" distL="0" distR="0">
            <wp:extent cx="5248275" cy="7524750"/>
            <wp:effectExtent l="19050" t="0" r="9525" b="0"/>
            <wp:docPr id="2" name="图片 11" descr="庭审流程图并接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庭审流程图并接口"/>
                    <pic:cNvPicPr>
                      <a:picLocks noChangeAspect="1" noChangeArrowheads="1"/>
                    </pic:cNvPicPr>
                  </pic:nvPicPr>
                  <pic:blipFill>
                    <a:blip r:embed="rId5"/>
                    <a:srcRect/>
                    <a:stretch>
                      <a:fillRect/>
                    </a:stretch>
                  </pic:blipFill>
                  <pic:spPr>
                    <a:xfrm>
                      <a:off x="0" y="0"/>
                      <a:ext cx="5248275" cy="7524750"/>
                    </a:xfrm>
                    <a:prstGeom prst="rect">
                      <a:avLst/>
                    </a:prstGeom>
                    <a:noFill/>
                    <a:ln w="9525" cmpd="sng">
                      <a:noFill/>
                      <a:miter lim="800000"/>
                      <a:headEnd/>
                      <a:tailEnd/>
                    </a:ln>
                  </pic:spPr>
                </pic:pic>
              </a:graphicData>
            </a:graphic>
          </wp:inline>
        </w:drawing>
      </w:r>
    </w:p>
    <w:p>
      <w:pPr>
        <w:keepNext/>
        <w:keepLines/>
        <w:widowControl/>
        <w:adjustRightInd w:val="0"/>
        <w:snapToGrid w:val="0"/>
        <w:spacing w:line="240" w:lineRule="exact"/>
        <w:outlineLvl w:val="1"/>
        <w:rPr>
          <w:rFonts w:hint="eastAsia" w:ascii="Calibri Light" w:hAnsi="Calibri Light" w:eastAsia="宋体" w:cs="Times New Roman"/>
          <w:b/>
          <w:kern w:val="0"/>
          <w:sz w:val="32"/>
          <w:szCs w:val="32"/>
        </w:rPr>
      </w:pPr>
      <w:bookmarkStart w:id="4" w:name="_Toc764445150"/>
      <w:bookmarkStart w:id="5" w:name="_Toc81353092"/>
      <w:bookmarkStart w:id="6" w:name="_Toc33796166"/>
      <w:bookmarkStart w:id="7" w:name="_Toc377628511"/>
      <w:bookmarkStart w:id="8" w:name="_Toc377732780"/>
    </w:p>
    <w:p>
      <w:pPr>
        <w:keepNext/>
        <w:keepLines/>
        <w:widowControl/>
        <w:adjustRightInd w:val="0"/>
        <w:snapToGrid w:val="0"/>
        <w:spacing w:line="360" w:lineRule="exact"/>
        <w:outlineLvl w:val="1"/>
        <w:rPr>
          <w:rFonts w:ascii="仿宋" w:hAnsi="仿宋" w:eastAsia="仿宋" w:cs="Times New Roman"/>
          <w:b/>
          <w:kern w:val="0"/>
          <w:sz w:val="32"/>
          <w:szCs w:val="32"/>
        </w:rPr>
      </w:pPr>
      <w:r>
        <w:rPr>
          <w:rFonts w:hint="eastAsia" w:ascii="仿宋" w:hAnsi="仿宋" w:eastAsia="仿宋" w:cs="Times New Roman"/>
          <w:b/>
          <w:kern w:val="0"/>
          <w:sz w:val="32"/>
          <w:szCs w:val="32"/>
        </w:rPr>
        <w:t>高清画面采集与合成</w:t>
      </w:r>
      <w:bookmarkEnd w:id="4"/>
      <w:bookmarkEnd w:id="5"/>
      <w:bookmarkEnd w:id="6"/>
    </w:p>
    <w:p>
      <w:pPr>
        <w:widowControl/>
        <w:numPr>
          <w:ilvl w:val="0"/>
          <w:numId w:val="1"/>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利旧院里原有的全高清摄像机，分别采集法官、原告、辩护、被告</w:t>
      </w:r>
      <w:r>
        <w:rPr>
          <w:rFonts w:ascii="仿宋" w:hAnsi="仿宋" w:eastAsia="仿宋" w:cs="Times New Roman"/>
          <w:color w:val="000000"/>
          <w:kern w:val="0"/>
          <w:sz w:val="32"/>
          <w:szCs w:val="32"/>
        </w:rPr>
        <w:t>/</w:t>
      </w:r>
      <w:r>
        <w:rPr>
          <w:rFonts w:hint="eastAsia" w:ascii="仿宋" w:hAnsi="仿宋" w:eastAsia="仿宋" w:cs="Times New Roman"/>
          <w:color w:val="000000"/>
          <w:kern w:val="0"/>
          <w:sz w:val="32"/>
          <w:szCs w:val="32"/>
        </w:rPr>
        <w:t>证人、旁听各角色的画面，采集的庭审画面信息必须是全面的、完整的、清晰的，能分辨出人物面容、表情变化等。</w:t>
      </w:r>
    </w:p>
    <w:p>
      <w:pPr>
        <w:widowControl/>
        <w:numPr>
          <w:ilvl w:val="0"/>
          <w:numId w:val="1"/>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利旧院里原有的证物展台等采集实物证据画面。</w:t>
      </w:r>
    </w:p>
    <w:p>
      <w:pPr>
        <w:widowControl/>
        <w:numPr>
          <w:ilvl w:val="0"/>
          <w:numId w:val="1"/>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利旧院里原有的标准法庭核心设备将这些画面进行合成，把复合画面给到新建设的庭审主机，保证原始庭审画面的完整性和同步性。</w:t>
      </w:r>
    </w:p>
    <w:p>
      <w:pPr>
        <w:widowControl/>
        <w:numPr>
          <w:ilvl w:val="0"/>
          <w:numId w:val="1"/>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合成画面清晰度须达到全高清，即画面大小达到</w:t>
      </w:r>
      <w:r>
        <w:rPr>
          <w:rFonts w:ascii="仿宋" w:hAnsi="仿宋" w:eastAsia="仿宋" w:cs="Times New Roman"/>
          <w:color w:val="000000"/>
          <w:kern w:val="0"/>
          <w:sz w:val="32"/>
          <w:szCs w:val="32"/>
        </w:rPr>
        <w:t>1920×1080</w:t>
      </w:r>
      <w:r>
        <w:rPr>
          <w:rFonts w:hint="eastAsia" w:ascii="仿宋" w:hAnsi="仿宋" w:eastAsia="仿宋" w:cs="Times New Roman"/>
          <w:color w:val="000000"/>
          <w:kern w:val="0"/>
          <w:sz w:val="32"/>
          <w:szCs w:val="32"/>
        </w:rPr>
        <w:t>，</w:t>
      </w:r>
      <w:r>
        <w:rPr>
          <w:rFonts w:ascii="仿宋" w:hAnsi="仿宋" w:eastAsia="仿宋" w:cs="Times New Roman"/>
          <w:color w:val="000000"/>
          <w:kern w:val="0"/>
          <w:sz w:val="32"/>
          <w:szCs w:val="32"/>
        </w:rPr>
        <w:t>60fps</w:t>
      </w:r>
      <w:r>
        <w:rPr>
          <w:rFonts w:hint="eastAsia" w:ascii="仿宋" w:hAnsi="仿宋" w:eastAsia="仿宋" w:cs="Times New Roman"/>
          <w:color w:val="000000"/>
          <w:kern w:val="0"/>
          <w:sz w:val="32"/>
          <w:szCs w:val="32"/>
        </w:rPr>
        <w:t>。</w:t>
      </w:r>
    </w:p>
    <w:p>
      <w:pPr>
        <w:widowControl/>
        <w:numPr>
          <w:ilvl w:val="0"/>
          <w:numId w:val="1"/>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画面合成方式需支持：单画面（当前焦点画面）、四画面（平分）、五画面（远程开庭时），六画面（</w:t>
      </w:r>
      <w:r>
        <w:rPr>
          <w:rFonts w:ascii="仿宋" w:hAnsi="仿宋" w:eastAsia="仿宋" w:cs="Times New Roman"/>
          <w:color w:val="000000"/>
          <w:kern w:val="0"/>
          <w:sz w:val="32"/>
          <w:szCs w:val="32"/>
        </w:rPr>
        <w:t>1+5</w:t>
      </w:r>
      <w:r>
        <w:rPr>
          <w:rFonts w:hint="eastAsia" w:ascii="仿宋" w:hAnsi="仿宋" w:eastAsia="仿宋" w:cs="Times New Roman"/>
          <w:color w:val="000000"/>
          <w:kern w:val="0"/>
          <w:sz w:val="32"/>
          <w:szCs w:val="32"/>
        </w:rPr>
        <w:t>）等。支持焦点画面的自动和手动切换，画面信号切换时面质无黑屏出现。</w:t>
      </w:r>
    </w:p>
    <w:p>
      <w:pPr>
        <w:keepNext/>
        <w:keepLines/>
        <w:widowControl/>
        <w:adjustRightInd w:val="0"/>
        <w:snapToGrid w:val="0"/>
        <w:spacing w:line="360" w:lineRule="exact"/>
        <w:outlineLvl w:val="1"/>
        <w:rPr>
          <w:rFonts w:ascii="仿宋" w:hAnsi="仿宋" w:eastAsia="仿宋" w:cs="Times New Roman"/>
          <w:b/>
          <w:kern w:val="0"/>
          <w:sz w:val="32"/>
          <w:szCs w:val="32"/>
        </w:rPr>
      </w:pPr>
    </w:p>
    <w:p>
      <w:pPr>
        <w:keepNext/>
        <w:keepLines/>
        <w:widowControl/>
        <w:adjustRightInd w:val="0"/>
        <w:snapToGrid w:val="0"/>
        <w:spacing w:line="360" w:lineRule="exact"/>
        <w:outlineLvl w:val="1"/>
        <w:rPr>
          <w:rFonts w:ascii="仿宋" w:hAnsi="仿宋" w:eastAsia="仿宋" w:cs="Times New Roman"/>
          <w:b/>
          <w:kern w:val="0"/>
          <w:sz w:val="32"/>
          <w:szCs w:val="32"/>
        </w:rPr>
      </w:pPr>
      <w:bookmarkStart w:id="9" w:name="_Toc33796167"/>
      <w:bookmarkStart w:id="10" w:name="_Toc382291187"/>
      <w:bookmarkStart w:id="11" w:name="_Toc81353093"/>
      <w:r>
        <w:rPr>
          <w:rFonts w:hint="eastAsia" w:ascii="仿宋" w:hAnsi="仿宋" w:eastAsia="仿宋" w:cs="Times New Roman"/>
          <w:b/>
          <w:kern w:val="0"/>
          <w:sz w:val="32"/>
          <w:szCs w:val="32"/>
        </w:rPr>
        <w:t>现场</w:t>
      </w:r>
      <w:bookmarkEnd w:id="9"/>
      <w:bookmarkEnd w:id="10"/>
      <w:bookmarkEnd w:id="11"/>
      <w:r>
        <w:rPr>
          <w:rFonts w:hint="eastAsia" w:ascii="仿宋" w:hAnsi="仿宋" w:eastAsia="仿宋" w:cs="Times New Roman"/>
          <w:b/>
          <w:kern w:val="0"/>
          <w:sz w:val="32"/>
          <w:szCs w:val="32"/>
        </w:rPr>
        <w:t>设备</w:t>
      </w:r>
    </w:p>
    <w:p>
      <w:pPr>
        <w:widowControl/>
        <w:adjustRightInd w:val="0"/>
        <w:snapToGrid w:val="0"/>
        <w:spacing w:line="360" w:lineRule="exac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利旧现场的显示设备、扩音设备等。</w:t>
      </w:r>
    </w:p>
    <w:p>
      <w:pPr>
        <w:keepNext/>
        <w:keepLines/>
        <w:widowControl/>
        <w:adjustRightInd w:val="0"/>
        <w:snapToGrid w:val="0"/>
        <w:spacing w:line="360" w:lineRule="exact"/>
        <w:outlineLvl w:val="1"/>
        <w:rPr>
          <w:rFonts w:ascii="仿宋" w:hAnsi="仿宋" w:eastAsia="仿宋" w:cs="Times New Roman"/>
          <w:b/>
          <w:kern w:val="0"/>
          <w:sz w:val="32"/>
          <w:szCs w:val="32"/>
        </w:rPr>
      </w:pPr>
    </w:p>
    <w:p>
      <w:pPr>
        <w:keepNext/>
        <w:keepLines/>
        <w:widowControl/>
        <w:adjustRightInd w:val="0"/>
        <w:snapToGrid w:val="0"/>
        <w:spacing w:line="360" w:lineRule="exact"/>
        <w:outlineLvl w:val="1"/>
        <w:rPr>
          <w:rFonts w:ascii="仿宋" w:hAnsi="仿宋" w:eastAsia="仿宋" w:cs="Times New Roman"/>
          <w:b/>
          <w:kern w:val="0"/>
          <w:sz w:val="32"/>
          <w:szCs w:val="32"/>
        </w:rPr>
      </w:pPr>
      <w:bookmarkStart w:id="12" w:name="_Toc33796172"/>
      <w:bookmarkStart w:id="13" w:name="_Toc81353098"/>
      <w:bookmarkStart w:id="14" w:name="_Toc450194843"/>
      <w:r>
        <w:rPr>
          <w:rFonts w:hint="eastAsia" w:ascii="仿宋" w:hAnsi="仿宋" w:eastAsia="仿宋" w:cs="Times New Roman"/>
          <w:b/>
          <w:kern w:val="0"/>
          <w:sz w:val="32"/>
          <w:szCs w:val="32"/>
        </w:rPr>
        <w:t>庭审录像</w:t>
      </w:r>
      <w:bookmarkEnd w:id="12"/>
      <w:bookmarkEnd w:id="13"/>
      <w:bookmarkEnd w:id="14"/>
    </w:p>
    <w:p>
      <w:pPr>
        <w:widowControl/>
        <w:numPr>
          <w:ilvl w:val="0"/>
          <w:numId w:val="2"/>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支持庭审录像的实时存储（存储在原有的服务器上）。</w:t>
      </w:r>
      <w:bookmarkStart w:id="15" w:name="_Toc81353101"/>
      <w:bookmarkStart w:id="16" w:name="_Toc33796175"/>
      <w:r>
        <w:rPr>
          <w:rFonts w:hint="eastAsia" w:ascii="仿宋" w:hAnsi="仿宋" w:eastAsia="仿宋" w:cs="Times New Roman"/>
          <w:color w:val="000000"/>
          <w:kern w:val="0"/>
          <w:sz w:val="32"/>
          <w:szCs w:val="32"/>
        </w:rPr>
        <w:t>在线庭审</w:t>
      </w:r>
      <w:r>
        <w:rPr>
          <w:rFonts w:ascii="仿宋" w:hAnsi="仿宋" w:eastAsia="仿宋" w:cs="Times New Roman"/>
          <w:color w:val="000000"/>
          <w:kern w:val="0"/>
          <w:sz w:val="32"/>
          <w:szCs w:val="32"/>
        </w:rPr>
        <w:t>/</w:t>
      </w:r>
      <w:r>
        <w:rPr>
          <w:rFonts w:hint="eastAsia" w:ascii="仿宋" w:hAnsi="仿宋" w:eastAsia="仿宋" w:cs="Times New Roman"/>
          <w:color w:val="000000"/>
          <w:kern w:val="0"/>
          <w:sz w:val="32"/>
          <w:szCs w:val="32"/>
        </w:rPr>
        <w:t>在线提讯</w:t>
      </w:r>
      <w:bookmarkEnd w:id="15"/>
      <w:bookmarkEnd w:id="16"/>
    </w:p>
    <w:p>
      <w:pPr>
        <w:widowControl/>
        <w:numPr>
          <w:ilvl w:val="0"/>
          <w:numId w:val="2"/>
        </w:numPr>
        <w:adjustRightInd w:val="0"/>
        <w:snapToGrid w:val="0"/>
        <w:spacing w:line="360" w:lineRule="exact"/>
        <w:ind w:left="0"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无须借助视频会议设备，通过庭审主机直接与装备了支持在线庭审功能的庭审主机的其它法院、监狱等远程互联。实现与异地法院之间的异地作证、在线庭审等高级功能。</w:t>
      </w:r>
    </w:p>
    <w:p>
      <w:pPr>
        <w:keepNext/>
        <w:keepLines/>
        <w:widowControl/>
        <w:adjustRightInd w:val="0"/>
        <w:snapToGrid w:val="0"/>
        <w:spacing w:line="300" w:lineRule="exact"/>
        <w:outlineLvl w:val="1"/>
        <w:rPr>
          <w:rFonts w:ascii="仿宋" w:hAnsi="仿宋" w:eastAsia="仿宋" w:cs="Times New Roman"/>
          <w:b/>
          <w:kern w:val="0"/>
          <w:sz w:val="32"/>
          <w:szCs w:val="32"/>
        </w:rPr>
      </w:pPr>
    </w:p>
    <w:p>
      <w:pPr>
        <w:keepNext/>
        <w:keepLines/>
        <w:widowControl/>
        <w:adjustRightInd w:val="0"/>
        <w:snapToGrid w:val="0"/>
        <w:spacing w:line="300" w:lineRule="exact"/>
        <w:outlineLvl w:val="0"/>
        <w:rPr>
          <w:rFonts w:ascii="仿宋" w:hAnsi="仿宋" w:eastAsia="仿宋" w:cs="Times New Roman"/>
          <w:b/>
          <w:kern w:val="0"/>
          <w:sz w:val="32"/>
          <w:szCs w:val="32"/>
        </w:rPr>
      </w:pPr>
      <w:bookmarkStart w:id="17" w:name="_Toc1794719499"/>
      <w:r>
        <w:rPr>
          <w:rFonts w:hint="eastAsia" w:ascii="仿宋" w:hAnsi="仿宋" w:eastAsia="仿宋" w:cs="Times New Roman"/>
          <w:b/>
          <w:kern w:val="0"/>
          <w:sz w:val="32"/>
          <w:szCs w:val="32"/>
        </w:rPr>
        <w:t>产品功能技术参数要求</w:t>
      </w:r>
      <w:bookmarkEnd w:id="17"/>
    </w:p>
    <w:bookmarkEnd w:id="7"/>
    <w:bookmarkEnd w:id="8"/>
    <w:tbl>
      <w:tblPr>
        <w:tblStyle w:val="13"/>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744"/>
        <w:gridCol w:w="6669"/>
        <w:gridCol w:w="664"/>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0" w:type="pct"/>
            <w:vAlign w:val="center"/>
          </w:tcPr>
          <w:p>
            <w:pPr>
              <w:widowControl/>
              <w:adjustRightInd w:val="0"/>
              <w:snapToGrid w:val="0"/>
              <w:spacing w:line="300" w:lineRule="exact"/>
              <w:jc w:val="center"/>
              <w:rPr>
                <w:rFonts w:ascii="仿宋" w:hAnsi="仿宋" w:eastAsia="仿宋" w:cs="Times New Roman"/>
                <w:kern w:val="0"/>
                <w:sz w:val="24"/>
                <w:szCs w:val="32"/>
              </w:rPr>
            </w:pPr>
            <w:r>
              <w:rPr>
                <w:rFonts w:hint="eastAsia" w:ascii="仿宋" w:hAnsi="仿宋" w:eastAsia="仿宋" w:cs="Times New Roman"/>
                <w:kern w:val="0"/>
                <w:sz w:val="24"/>
                <w:szCs w:val="32"/>
              </w:rPr>
              <w:t>序号</w:t>
            </w:r>
          </w:p>
        </w:tc>
        <w:tc>
          <w:tcPr>
            <w:tcW w:w="399" w:type="pct"/>
            <w:vAlign w:val="center"/>
          </w:tcPr>
          <w:p>
            <w:pPr>
              <w:widowControl/>
              <w:adjustRightInd w:val="0"/>
              <w:snapToGrid w:val="0"/>
              <w:spacing w:line="300" w:lineRule="exact"/>
              <w:jc w:val="center"/>
              <w:rPr>
                <w:rFonts w:ascii="仿宋" w:hAnsi="仿宋" w:eastAsia="仿宋" w:cs="Times New Roman"/>
                <w:kern w:val="0"/>
                <w:sz w:val="24"/>
                <w:szCs w:val="32"/>
              </w:rPr>
            </w:pPr>
            <w:r>
              <w:rPr>
                <w:rFonts w:hint="eastAsia" w:ascii="仿宋" w:hAnsi="仿宋" w:eastAsia="仿宋" w:cs="Times New Roman"/>
                <w:kern w:val="0"/>
                <w:sz w:val="24"/>
                <w:szCs w:val="32"/>
              </w:rPr>
              <w:t>产品名称</w:t>
            </w:r>
          </w:p>
        </w:tc>
        <w:tc>
          <w:tcPr>
            <w:tcW w:w="3578" w:type="pct"/>
            <w:vAlign w:val="center"/>
          </w:tcPr>
          <w:p>
            <w:pPr>
              <w:widowControl/>
              <w:adjustRightInd w:val="0"/>
              <w:snapToGrid w:val="0"/>
              <w:spacing w:line="300" w:lineRule="exact"/>
              <w:jc w:val="center"/>
              <w:rPr>
                <w:rFonts w:ascii="仿宋" w:hAnsi="仿宋" w:eastAsia="仿宋" w:cs="Times New Roman"/>
                <w:kern w:val="0"/>
                <w:sz w:val="24"/>
                <w:szCs w:val="32"/>
              </w:rPr>
            </w:pPr>
            <w:r>
              <w:rPr>
                <w:rFonts w:hint="eastAsia" w:ascii="仿宋" w:hAnsi="仿宋" w:eastAsia="仿宋" w:cs="Times New Roman"/>
                <w:kern w:val="0"/>
                <w:sz w:val="24"/>
                <w:szCs w:val="32"/>
              </w:rPr>
              <w:t>功能描述</w:t>
            </w:r>
          </w:p>
        </w:tc>
        <w:tc>
          <w:tcPr>
            <w:tcW w:w="356" w:type="pct"/>
            <w:vAlign w:val="center"/>
          </w:tcPr>
          <w:p>
            <w:pPr>
              <w:widowControl/>
              <w:adjustRightInd w:val="0"/>
              <w:snapToGrid w:val="0"/>
              <w:spacing w:line="300" w:lineRule="exact"/>
              <w:jc w:val="center"/>
              <w:rPr>
                <w:rFonts w:ascii="仿宋" w:hAnsi="仿宋" w:eastAsia="仿宋" w:cs="Times New Roman"/>
                <w:kern w:val="0"/>
                <w:sz w:val="24"/>
                <w:szCs w:val="32"/>
              </w:rPr>
            </w:pPr>
            <w:r>
              <w:rPr>
                <w:rFonts w:hint="eastAsia" w:ascii="仿宋" w:hAnsi="仿宋" w:eastAsia="仿宋" w:cs="Times New Roman"/>
                <w:kern w:val="0"/>
                <w:sz w:val="24"/>
                <w:szCs w:val="32"/>
              </w:rPr>
              <w:t>数量</w:t>
            </w:r>
          </w:p>
        </w:tc>
        <w:tc>
          <w:tcPr>
            <w:tcW w:w="337" w:type="pct"/>
            <w:vAlign w:val="center"/>
          </w:tcPr>
          <w:p>
            <w:pPr>
              <w:widowControl/>
              <w:adjustRightInd w:val="0"/>
              <w:snapToGrid w:val="0"/>
              <w:spacing w:line="300" w:lineRule="exact"/>
              <w:jc w:val="center"/>
              <w:rPr>
                <w:rFonts w:ascii="仿宋" w:hAnsi="仿宋" w:eastAsia="仿宋" w:cs="Times New Roman"/>
                <w:kern w:val="0"/>
                <w:sz w:val="24"/>
                <w:szCs w:val="32"/>
              </w:rPr>
            </w:pPr>
            <w:r>
              <w:rPr>
                <w:rFonts w:hint="eastAsia" w:ascii="仿宋" w:hAnsi="仿宋" w:eastAsia="仿宋" w:cs="Times New Roman"/>
                <w:kern w:val="0"/>
                <w:sz w:val="24"/>
                <w:szCs w:val="3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330"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1</w:t>
            </w:r>
          </w:p>
        </w:tc>
        <w:tc>
          <w:tcPr>
            <w:tcW w:w="399" w:type="pct"/>
            <w:vAlign w:val="center"/>
          </w:tcPr>
          <w:p>
            <w:pPr>
              <w:widowControl/>
              <w:adjustRightInd w:val="0"/>
              <w:snapToGrid w:val="0"/>
              <w:spacing w:line="300" w:lineRule="exact"/>
              <w:jc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高清标准庭审主机</w:t>
            </w:r>
          </w:p>
        </w:tc>
        <w:tc>
          <w:tcPr>
            <w:tcW w:w="3578" w:type="pct"/>
            <w:vAlign w:val="center"/>
          </w:tcPr>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1、▲主机高度集成，高度不高于3U，深度不超过45CM，以确保可以安装至课室任意位置（含书记员桌下）；</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2、6路数字高清1080P视频输入,使用HD-SDI接口，用于接入数字高清旋转摄像机等设备；</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3、▲6路VGA和4路HDMI信号输入，用于接入远程信号、公诉席或辩护席外接的笔记本信号、书记员电脑笔录信号、展台证据信号等；（提供图片并加盖厂商公章）</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4、▲内置智能红外学习功能，直接编译控制，8路可编程红外发射端口；可同时控制多个使用红外控制的设备，（如电视机、高清同步监视器等、远程终端以及各类音响设备等）；</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5、10路可编程RS-232/RS-485混用端口；可同时控制多个使用RS-232/RS-485控制的设备，（如高清摄像机、证据展示台、高清投影机、远程终端、各类矩阵、各类音响设备等）；</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6、▲支持最高8路高清独立编码录像，以确保案件审理过程中每个当事人的每个庭审细节都能清晰还原。每一路视频录制码流可根据用户自定义分辨率（720p,1080i,1080p）,码流可设置在（512K 至32MB）；</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7、▲支持外接音频识别处理器，实现语音激励，（画面自动切换，支持不少于3台摄像机的摄像联动控制）联动视频切换功能。（每个音频识别处理器提供8路麦克风接入（最大支持最大64台音频识别处理器级联）；</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8、4路HD-SDI数字高清1080P视频输出、6路VGA信号输出、4路HDMI信号输出，以适应各类显示设备、远程终端的显示需求；（提供图片并加盖厂商公章）</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9、6路音频输入，6路音频输出，采用双编组设计；</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10、支持1/2/4/6多画面显示，合成画面分辨率1080P；</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11、支持TCP、UDP、RTP、RTSP、组播传输网络协议；</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12、单块支持2T硬盘存储空间，可扩展至4块；</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13、内置温度传感器，实时检测主机内部温度，智能控制散热风扇工作，支持外接温湿度传感器模块，实时检测室内温湿度；</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14、▲主机前面板内置高清监视屏，真实还原庭审现场；（提供图片并加盖厂商公章）</w:t>
            </w:r>
          </w:p>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15、支持庭审音频独立存储，证据信号截图存储，截图分辨率高达1920*1080。</w:t>
            </w:r>
          </w:p>
        </w:tc>
        <w:tc>
          <w:tcPr>
            <w:tcW w:w="356"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2</w:t>
            </w:r>
          </w:p>
        </w:tc>
        <w:tc>
          <w:tcPr>
            <w:tcW w:w="337"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30"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2</w:t>
            </w:r>
          </w:p>
        </w:tc>
        <w:tc>
          <w:tcPr>
            <w:tcW w:w="399" w:type="pct"/>
            <w:vAlign w:val="center"/>
          </w:tcPr>
          <w:p>
            <w:pPr>
              <w:widowControl/>
              <w:adjustRightInd w:val="0"/>
              <w:snapToGrid w:val="0"/>
              <w:spacing w:line="300" w:lineRule="exact"/>
              <w:jc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高清标准庭审主机软件</w:t>
            </w:r>
          </w:p>
        </w:tc>
        <w:tc>
          <w:tcPr>
            <w:tcW w:w="3578" w:type="pct"/>
            <w:vAlign w:val="center"/>
          </w:tcPr>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1、▲为保证庭审系统的兼容与稳定，庭审软件需与庭审主机同品牌，采用B/S架构，集成管理信息系统。</w:t>
            </w:r>
            <w:r>
              <w:rPr>
                <w:rFonts w:hint="eastAsia" w:ascii="仿宋" w:hAnsi="仿宋" w:eastAsia="仿宋" w:cs="宋体"/>
                <w:color w:val="000000"/>
                <w:kern w:val="0"/>
                <w:sz w:val="24"/>
                <w:szCs w:val="32"/>
              </w:rPr>
              <w:br w:type="textWrapping"/>
            </w:r>
            <w:r>
              <w:rPr>
                <w:rFonts w:hint="eastAsia" w:ascii="仿宋" w:hAnsi="仿宋" w:eastAsia="仿宋" w:cs="宋体"/>
                <w:color w:val="000000"/>
                <w:kern w:val="0"/>
                <w:sz w:val="24"/>
                <w:szCs w:val="32"/>
              </w:rPr>
              <w:t>2、基本功能：庭审录制、电子笔录、即时通讯、远程提讯、联合开庭、统计分析、卷宗管理、设备管理、庭审刻录。</w:t>
            </w:r>
            <w:r>
              <w:rPr>
                <w:rFonts w:hint="eastAsia" w:ascii="仿宋" w:hAnsi="仿宋" w:eastAsia="仿宋" w:cs="宋体"/>
                <w:color w:val="000000"/>
                <w:kern w:val="0"/>
                <w:sz w:val="24"/>
                <w:szCs w:val="32"/>
              </w:rPr>
              <w:br w:type="textWrapping"/>
            </w:r>
            <w:r>
              <w:rPr>
                <w:rFonts w:hint="eastAsia" w:ascii="仿宋" w:hAnsi="仿宋" w:eastAsia="仿宋" w:cs="宋体"/>
                <w:color w:val="000000"/>
                <w:kern w:val="0"/>
                <w:sz w:val="24"/>
                <w:szCs w:val="32"/>
              </w:rPr>
              <w:t>3、▲庭审排期：实现与省高院新、旧审判业务系统对接、实现与省高院数据中心对接，可直接调取排期信息；</w:t>
            </w:r>
            <w:r>
              <w:rPr>
                <w:rFonts w:hint="eastAsia" w:ascii="仿宋" w:hAnsi="仿宋" w:eastAsia="仿宋" w:cs="宋体"/>
                <w:color w:val="000000"/>
                <w:kern w:val="0"/>
                <w:sz w:val="24"/>
                <w:szCs w:val="32"/>
              </w:rPr>
              <w:br w:type="textWrapping"/>
            </w:r>
            <w:r>
              <w:rPr>
                <w:rFonts w:hint="eastAsia" w:ascii="仿宋" w:hAnsi="仿宋" w:eastAsia="仿宋" w:cs="宋体"/>
                <w:color w:val="000000"/>
                <w:kern w:val="0"/>
                <w:sz w:val="24"/>
                <w:szCs w:val="32"/>
              </w:rPr>
              <w:t>4、▲直播点播：实现法院内部直播点播；实现通过“省高院科技法庭音视频一体化保障平台和庭审巡查平台”直播点播。</w:t>
            </w:r>
          </w:p>
        </w:tc>
        <w:tc>
          <w:tcPr>
            <w:tcW w:w="356"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2</w:t>
            </w:r>
          </w:p>
        </w:tc>
        <w:tc>
          <w:tcPr>
            <w:tcW w:w="337"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30"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3</w:t>
            </w:r>
          </w:p>
        </w:tc>
        <w:tc>
          <w:tcPr>
            <w:tcW w:w="399" w:type="pct"/>
            <w:vAlign w:val="center"/>
          </w:tcPr>
          <w:p>
            <w:pPr>
              <w:widowControl/>
              <w:adjustRightInd w:val="0"/>
              <w:snapToGrid w:val="0"/>
              <w:spacing w:line="300" w:lineRule="exact"/>
              <w:jc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监狱在线庭审系统后台部署</w:t>
            </w:r>
          </w:p>
        </w:tc>
        <w:tc>
          <w:tcPr>
            <w:tcW w:w="3578" w:type="pct"/>
            <w:vAlign w:val="center"/>
          </w:tcPr>
          <w:p>
            <w:pPr>
              <w:widowControl/>
              <w:adjustRightInd w:val="0"/>
              <w:snapToGrid w:val="0"/>
              <w:spacing w:line="300" w:lineRule="exact"/>
              <w:textAlignment w:val="center"/>
              <w:rPr>
                <w:rFonts w:ascii="仿宋" w:hAnsi="仿宋" w:eastAsia="仿宋" w:cs="宋体"/>
                <w:color w:val="000000"/>
                <w:kern w:val="0"/>
                <w:sz w:val="24"/>
                <w:szCs w:val="32"/>
              </w:rPr>
            </w:pPr>
            <w:r>
              <w:rPr>
                <w:rFonts w:hint="eastAsia" w:ascii="仿宋" w:hAnsi="仿宋" w:eastAsia="仿宋" w:cs="宋体"/>
                <w:color w:val="000000"/>
                <w:kern w:val="0"/>
                <w:sz w:val="24"/>
                <w:szCs w:val="32"/>
              </w:rPr>
              <w:t>B/S架构，实现对单体审理庭系统进行配置和管理。主要功能包括：排期管理、内容管理、播控管理、权限管理、系统管理、日志管理等。</w:t>
            </w:r>
            <w:r>
              <w:rPr>
                <w:rFonts w:hint="eastAsia" w:ascii="仿宋" w:hAnsi="仿宋" w:eastAsia="仿宋" w:cs="宋体"/>
                <w:color w:val="000000"/>
                <w:kern w:val="0"/>
                <w:sz w:val="24"/>
                <w:szCs w:val="32"/>
              </w:rPr>
              <w:br w:type="textWrapping"/>
            </w:r>
            <w:r>
              <w:rPr>
                <w:rFonts w:hint="eastAsia" w:ascii="仿宋" w:hAnsi="仿宋" w:eastAsia="仿宋" w:cs="宋体"/>
                <w:color w:val="000000"/>
                <w:kern w:val="0"/>
                <w:sz w:val="24"/>
                <w:szCs w:val="32"/>
              </w:rPr>
              <w:t>▲为确保系统的兼容性和稳定性，与高清数字庭审主机同一品牌</w:t>
            </w:r>
          </w:p>
        </w:tc>
        <w:tc>
          <w:tcPr>
            <w:tcW w:w="356" w:type="pct"/>
            <w:vAlign w:val="center"/>
          </w:tcPr>
          <w:p>
            <w:pPr>
              <w:widowControl/>
              <w:adjustRightInd w:val="0"/>
              <w:snapToGrid w:val="0"/>
              <w:spacing w:line="300" w:lineRule="exact"/>
              <w:jc w:val="center"/>
              <w:rPr>
                <w:rFonts w:ascii="仿宋" w:hAnsi="仿宋" w:eastAsia="仿宋" w:cs="Times New Roman"/>
                <w:color w:val="000000"/>
                <w:kern w:val="0"/>
                <w:sz w:val="24"/>
                <w:szCs w:val="32"/>
              </w:rPr>
            </w:pPr>
            <w:r>
              <w:rPr>
                <w:rFonts w:hint="eastAsia" w:ascii="仿宋" w:hAnsi="仿宋" w:eastAsia="仿宋" w:cs="Times New Roman"/>
                <w:color w:val="000000"/>
                <w:kern w:val="0"/>
                <w:sz w:val="24"/>
                <w:szCs w:val="32"/>
              </w:rPr>
              <w:t>1</w:t>
            </w:r>
          </w:p>
        </w:tc>
        <w:tc>
          <w:tcPr>
            <w:tcW w:w="337" w:type="pct"/>
            <w:vAlign w:val="center"/>
          </w:tcPr>
          <w:p>
            <w:pPr>
              <w:widowControl/>
              <w:adjustRightInd w:val="0"/>
              <w:snapToGrid w:val="0"/>
              <w:spacing w:line="300" w:lineRule="exact"/>
              <w:jc w:val="center"/>
              <w:rPr>
                <w:rFonts w:ascii="仿宋" w:hAnsi="仿宋" w:eastAsia="仿宋" w:cs="Times New Roman"/>
                <w:b/>
                <w:color w:val="FF0000"/>
                <w:kern w:val="0"/>
                <w:sz w:val="24"/>
                <w:szCs w:val="32"/>
              </w:rPr>
            </w:pPr>
            <w:r>
              <w:rPr>
                <w:rFonts w:hint="eastAsia" w:ascii="仿宋" w:hAnsi="仿宋" w:eastAsia="仿宋" w:cs="Times New Roman"/>
                <w:color w:val="000000"/>
                <w:kern w:val="0"/>
                <w:sz w:val="24"/>
                <w:szCs w:val="32"/>
              </w:rPr>
              <w:t>套</w:t>
            </w:r>
          </w:p>
        </w:tc>
      </w:tr>
    </w:tbl>
    <w:p>
      <w:pPr>
        <w:widowControl/>
        <w:adjustRightInd w:val="0"/>
        <w:snapToGrid w:val="0"/>
        <w:spacing w:line="3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★本期建设的监狱在线庭审系统设备要与广东省高级人民法院减刑假释</w:t>
      </w:r>
      <w:r>
        <w:rPr>
          <w:rFonts w:ascii="仿宋" w:hAnsi="仿宋" w:eastAsia="仿宋" w:cs="Times New Roman"/>
          <w:kern w:val="0"/>
          <w:sz w:val="32"/>
          <w:szCs w:val="32"/>
        </w:rPr>
        <w:t>1期、2期建设的法庭进行无缝对接，对接费用由中标方承担，</w:t>
      </w:r>
      <w:r>
        <w:rPr>
          <w:rFonts w:hint="eastAsia" w:ascii="仿宋" w:hAnsi="仿宋" w:eastAsia="仿宋" w:cs="Times New Roman"/>
          <w:kern w:val="0"/>
          <w:sz w:val="32"/>
          <w:szCs w:val="32"/>
        </w:rPr>
        <w:t>且必须出具承诺函。</w:t>
      </w:r>
    </w:p>
    <w:p>
      <w:pPr>
        <w:keepNext/>
        <w:keepLines/>
        <w:widowControl/>
        <w:adjustRightInd w:val="0"/>
        <w:snapToGrid w:val="0"/>
        <w:spacing w:line="360" w:lineRule="exact"/>
        <w:outlineLvl w:val="1"/>
        <w:rPr>
          <w:rFonts w:ascii="仿宋" w:hAnsi="仿宋" w:eastAsia="仿宋" w:cs="Times New Roman"/>
          <w:b/>
          <w:kern w:val="0"/>
          <w:sz w:val="32"/>
          <w:szCs w:val="32"/>
        </w:rPr>
      </w:pPr>
      <w:bookmarkStart w:id="18" w:name="_Toc1947301407"/>
    </w:p>
    <w:p>
      <w:pPr>
        <w:keepNext/>
        <w:keepLines/>
        <w:widowControl/>
        <w:adjustRightInd w:val="0"/>
        <w:snapToGrid w:val="0"/>
        <w:spacing w:line="360" w:lineRule="exact"/>
        <w:outlineLvl w:val="0"/>
        <w:rPr>
          <w:rFonts w:ascii="仿宋" w:hAnsi="仿宋" w:eastAsia="仿宋" w:cs="Times New Roman"/>
          <w:b/>
          <w:kern w:val="0"/>
          <w:sz w:val="32"/>
          <w:szCs w:val="32"/>
        </w:rPr>
      </w:pPr>
      <w:r>
        <w:rPr>
          <w:rFonts w:ascii="仿宋" w:hAnsi="仿宋" w:eastAsia="仿宋" w:cs="Times New Roman"/>
          <w:b/>
          <w:kern w:val="0"/>
          <w:sz w:val="32"/>
          <w:szCs w:val="32"/>
        </w:rPr>
        <w:t>工期要求</w:t>
      </w:r>
      <w:bookmarkEnd w:id="18"/>
    </w:p>
    <w:p>
      <w:pPr>
        <w:widowControl/>
        <w:adjustRightInd w:val="0"/>
        <w:snapToGrid w:val="0"/>
        <w:spacing w:line="3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合同</w:t>
      </w:r>
      <w:r>
        <w:rPr>
          <w:rFonts w:ascii="仿宋" w:hAnsi="仿宋" w:eastAsia="仿宋" w:cs="Times New Roman"/>
          <w:kern w:val="0"/>
          <w:sz w:val="32"/>
          <w:szCs w:val="32"/>
        </w:rPr>
        <w:t>签署后</w:t>
      </w:r>
      <w:r>
        <w:rPr>
          <w:rFonts w:hint="eastAsia" w:ascii="仿宋" w:hAnsi="仿宋" w:eastAsia="仿宋" w:cs="Times New Roman"/>
          <w:kern w:val="0"/>
          <w:sz w:val="32"/>
          <w:szCs w:val="32"/>
        </w:rPr>
        <w:t>1个月内完成软硬件的部署和调测，</w:t>
      </w:r>
      <w:r>
        <w:rPr>
          <w:rFonts w:ascii="仿宋" w:hAnsi="仿宋" w:eastAsia="仿宋" w:cs="Times New Roman"/>
          <w:kern w:val="0"/>
          <w:sz w:val="32"/>
          <w:szCs w:val="32"/>
        </w:rPr>
        <w:t>开始试运行</w:t>
      </w:r>
      <w:r>
        <w:rPr>
          <w:rFonts w:hint="eastAsia" w:ascii="仿宋" w:hAnsi="仿宋" w:eastAsia="仿宋" w:cs="Times New Roman"/>
          <w:kern w:val="0"/>
          <w:sz w:val="32"/>
          <w:szCs w:val="32"/>
        </w:rPr>
        <w:t>。</w:t>
      </w:r>
    </w:p>
    <w:p>
      <w:pPr>
        <w:widowControl/>
        <w:adjustRightInd w:val="0"/>
        <w:snapToGrid w:val="0"/>
        <w:spacing w:line="3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合同签署后</w:t>
      </w:r>
      <w:r>
        <w:rPr>
          <w:rFonts w:hint="eastAsia" w:ascii="仿宋" w:hAnsi="仿宋" w:eastAsia="仿宋" w:cs="Times New Roman"/>
          <w:kern w:val="0"/>
          <w:sz w:val="32"/>
          <w:szCs w:val="32"/>
        </w:rPr>
        <w:t>2</w:t>
      </w:r>
      <w:r>
        <w:rPr>
          <w:rFonts w:ascii="仿宋" w:hAnsi="仿宋" w:eastAsia="仿宋" w:cs="Times New Roman"/>
          <w:kern w:val="0"/>
          <w:sz w:val="32"/>
          <w:szCs w:val="32"/>
        </w:rPr>
        <w:t>个月内</w:t>
      </w:r>
      <w:r>
        <w:rPr>
          <w:rFonts w:hint="eastAsia" w:ascii="仿宋" w:hAnsi="仿宋" w:eastAsia="仿宋" w:cs="Times New Roman"/>
          <w:kern w:val="0"/>
          <w:sz w:val="32"/>
          <w:szCs w:val="32"/>
        </w:rPr>
        <w:t>完成终验</w:t>
      </w:r>
      <w:r>
        <w:rPr>
          <w:rFonts w:ascii="仿宋" w:hAnsi="仿宋" w:eastAsia="仿宋" w:cs="Times New Roman"/>
          <w:kern w:val="0"/>
          <w:sz w:val="32"/>
          <w:szCs w:val="32"/>
        </w:rPr>
        <w:t>工作。</w:t>
      </w:r>
    </w:p>
    <w:p>
      <w:pPr>
        <w:widowControl/>
        <w:adjustRightInd w:val="0"/>
        <w:snapToGrid w:val="0"/>
        <w:spacing w:line="3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如遇到疫情等不可抗力情况，投标方应在7天内</w:t>
      </w:r>
      <w:r>
        <w:rPr>
          <w:rFonts w:ascii="仿宋" w:hAnsi="仿宋" w:eastAsia="仿宋" w:cs="Times New Roman"/>
          <w:kern w:val="0"/>
          <w:sz w:val="32"/>
          <w:szCs w:val="32"/>
        </w:rPr>
        <w:t>将情况以书面形式通知</w:t>
      </w:r>
      <w:r>
        <w:rPr>
          <w:rFonts w:hint="eastAsia" w:ascii="仿宋" w:hAnsi="仿宋" w:eastAsia="仿宋" w:cs="Times New Roman"/>
          <w:kern w:val="0"/>
          <w:sz w:val="32"/>
          <w:szCs w:val="32"/>
        </w:rPr>
        <w:t>采购方，并采取合理措施使损失减至最低。因不可抗力或意外事件导致迟延交付，双方重新约定交付时间。</w:t>
      </w:r>
    </w:p>
    <w:p>
      <w:pPr>
        <w:keepNext/>
        <w:keepLines/>
        <w:widowControl/>
        <w:adjustRightInd w:val="0"/>
        <w:snapToGrid w:val="0"/>
        <w:spacing w:line="360" w:lineRule="exact"/>
        <w:outlineLvl w:val="1"/>
        <w:rPr>
          <w:rFonts w:ascii="仿宋" w:hAnsi="仿宋" w:eastAsia="仿宋" w:cs="Times New Roman"/>
          <w:b/>
          <w:kern w:val="0"/>
          <w:sz w:val="32"/>
          <w:szCs w:val="32"/>
        </w:rPr>
      </w:pPr>
      <w:bookmarkStart w:id="19" w:name="_Toc712789209"/>
    </w:p>
    <w:p>
      <w:pPr>
        <w:keepNext/>
        <w:keepLines/>
        <w:widowControl/>
        <w:adjustRightInd w:val="0"/>
        <w:snapToGrid w:val="0"/>
        <w:spacing w:line="360" w:lineRule="exact"/>
        <w:outlineLvl w:val="0"/>
        <w:rPr>
          <w:rFonts w:ascii="仿宋" w:hAnsi="仿宋" w:eastAsia="仿宋" w:cs="Times New Roman"/>
          <w:b/>
          <w:kern w:val="0"/>
          <w:sz w:val="32"/>
          <w:szCs w:val="32"/>
        </w:rPr>
      </w:pPr>
      <w:r>
        <w:rPr>
          <w:rFonts w:ascii="仿宋" w:hAnsi="仿宋" w:eastAsia="仿宋" w:cs="Times New Roman"/>
          <w:b/>
          <w:kern w:val="0"/>
          <w:sz w:val="32"/>
          <w:szCs w:val="32"/>
        </w:rPr>
        <w:t>验收要求</w:t>
      </w:r>
      <w:bookmarkEnd w:id="19"/>
    </w:p>
    <w:p>
      <w:pPr>
        <w:widowControl/>
        <w:adjustRightInd w:val="0"/>
        <w:snapToGrid w:val="0"/>
        <w:spacing w:line="3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系统稳定运行，且所有性能指标达到技术需求书的要求时，可进行项目验收并制定验收文件。</w:t>
      </w:r>
    </w:p>
    <w:p>
      <w:pPr>
        <w:keepNext/>
        <w:keepLines/>
        <w:widowControl/>
        <w:adjustRightInd w:val="0"/>
        <w:snapToGrid w:val="0"/>
        <w:spacing w:line="360" w:lineRule="exact"/>
        <w:outlineLvl w:val="1"/>
        <w:rPr>
          <w:rFonts w:ascii="仿宋" w:hAnsi="仿宋" w:eastAsia="仿宋" w:cs="Times New Roman"/>
          <w:b/>
          <w:kern w:val="0"/>
          <w:sz w:val="32"/>
          <w:szCs w:val="32"/>
        </w:rPr>
      </w:pPr>
      <w:bookmarkStart w:id="20" w:name="_Toc1272700965"/>
    </w:p>
    <w:p>
      <w:pPr>
        <w:keepNext/>
        <w:keepLines/>
        <w:widowControl/>
        <w:adjustRightInd w:val="0"/>
        <w:snapToGrid w:val="0"/>
        <w:spacing w:line="360" w:lineRule="exact"/>
        <w:outlineLvl w:val="1"/>
        <w:rPr>
          <w:rFonts w:ascii="仿宋" w:hAnsi="仿宋" w:eastAsia="仿宋" w:cs="Times New Roman"/>
          <w:b/>
          <w:kern w:val="0"/>
          <w:sz w:val="32"/>
          <w:szCs w:val="32"/>
        </w:rPr>
      </w:pPr>
      <w:r>
        <w:rPr>
          <w:rFonts w:hint="eastAsia" w:ascii="仿宋" w:hAnsi="仿宋" w:eastAsia="仿宋" w:cs="Times New Roman"/>
          <w:b/>
          <w:kern w:val="0"/>
          <w:sz w:val="32"/>
          <w:szCs w:val="32"/>
        </w:rPr>
        <w:t>质保期内服务要求</w:t>
      </w:r>
      <w:bookmarkEnd w:id="20"/>
    </w:p>
    <w:p>
      <w:pPr>
        <w:widowControl/>
        <w:numPr>
          <w:ilvl w:val="0"/>
          <w:numId w:val="3"/>
        </w:numPr>
        <w:adjustRightInd w:val="0"/>
        <w:snapToGrid w:val="0"/>
        <w:spacing w:line="3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项目验收后免费提供不少于一年质保期。</w:t>
      </w:r>
    </w:p>
    <w:p>
      <w:pPr>
        <w:widowControl/>
        <w:numPr>
          <w:ilvl w:val="0"/>
          <w:numId w:val="3"/>
        </w:numPr>
        <w:adjustRightInd w:val="0"/>
        <w:snapToGrid w:val="0"/>
        <w:spacing w:line="3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日常技术支持服务：包含远程技术支持服务和现场技术支持服务。在特殊情况下，应提供紧急响应服务，以保证服务的质量。远程技术支持服务要求提供7*24小时的中文热线技术支持，随时解答用户的技术问题、并排除故障。</w:t>
      </w:r>
    </w:p>
    <w:p>
      <w:pPr>
        <w:widowControl/>
        <w:numPr>
          <w:ilvl w:val="0"/>
          <w:numId w:val="3"/>
        </w:numPr>
        <w:adjustRightInd w:val="0"/>
        <w:snapToGrid w:val="0"/>
        <w:spacing w:line="3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故障响应时间不超过2小时，支持远程服务；如果问题无法远程解决，任意一个监狱在线庭审系统设备现场响应时间不超过48小时。</w:t>
      </w:r>
      <w:bookmarkStart w:id="21" w:name="_Hlk81352731"/>
    </w:p>
    <w:bookmarkEnd w:id="21"/>
    <w:p>
      <w:pPr>
        <w:keepNext/>
        <w:keepLines/>
        <w:widowControl/>
        <w:adjustRightInd w:val="0"/>
        <w:snapToGrid w:val="0"/>
        <w:spacing w:line="360" w:lineRule="exact"/>
        <w:outlineLvl w:val="1"/>
        <w:rPr>
          <w:rFonts w:ascii="仿宋" w:hAnsi="仿宋" w:eastAsia="仿宋" w:cs="Times New Roman"/>
          <w:b/>
          <w:kern w:val="0"/>
          <w:sz w:val="32"/>
          <w:szCs w:val="32"/>
        </w:rPr>
      </w:pPr>
      <w:bookmarkStart w:id="22" w:name="_Toc76860207"/>
      <w:bookmarkStart w:id="23" w:name="_Toc1243129297"/>
      <w:bookmarkStart w:id="24" w:name="_Toc74618668"/>
    </w:p>
    <w:p>
      <w:pPr>
        <w:keepNext/>
        <w:keepLines/>
        <w:widowControl/>
        <w:adjustRightInd w:val="0"/>
        <w:snapToGrid w:val="0"/>
        <w:spacing w:line="360" w:lineRule="exact"/>
        <w:outlineLvl w:val="0"/>
        <w:rPr>
          <w:rFonts w:ascii="仿宋" w:hAnsi="仿宋" w:eastAsia="仿宋" w:cs="Times New Roman"/>
          <w:b/>
          <w:kern w:val="0"/>
          <w:sz w:val="32"/>
          <w:szCs w:val="32"/>
        </w:rPr>
      </w:pPr>
      <w:r>
        <w:rPr>
          <w:rFonts w:ascii="仿宋" w:hAnsi="仿宋" w:eastAsia="仿宋" w:cs="Times New Roman"/>
          <w:b/>
          <w:kern w:val="0"/>
          <w:sz w:val="32"/>
          <w:szCs w:val="32"/>
        </w:rPr>
        <w:t>付款方式</w:t>
      </w:r>
      <w:bookmarkEnd w:id="22"/>
      <w:bookmarkEnd w:id="23"/>
      <w:bookmarkEnd w:id="24"/>
    </w:p>
    <w:p>
      <w:pPr>
        <w:widowControl/>
        <w:numPr>
          <w:ilvl w:val="0"/>
          <w:numId w:val="4"/>
        </w:numPr>
        <w:adjustRightInd w:val="0"/>
        <w:snapToGrid w:val="0"/>
        <w:spacing w:line="3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首期款：合同签订后，甲方在收到乙方开具的等额国家正式发票和支付申请十个工作日内，甲方确认后启动首期款支付流程，支付合同总金额的</w:t>
      </w:r>
      <w:r>
        <w:rPr>
          <w:rFonts w:hint="eastAsia" w:ascii="仿宋" w:hAnsi="仿宋" w:eastAsia="仿宋" w:cs="Times New Roman"/>
          <w:kern w:val="0"/>
          <w:sz w:val="32"/>
          <w:szCs w:val="32"/>
        </w:rPr>
        <w:t>50</w:t>
      </w:r>
      <w:r>
        <w:rPr>
          <w:rFonts w:ascii="仿宋" w:hAnsi="仿宋" w:eastAsia="仿宋" w:cs="Times New Roman"/>
          <w:kern w:val="0"/>
          <w:sz w:val="32"/>
          <w:szCs w:val="32"/>
        </w:rPr>
        <w:t>%</w:t>
      </w:r>
      <w:r>
        <w:rPr>
          <w:rFonts w:hint="eastAsia" w:ascii="仿宋" w:hAnsi="仿宋" w:eastAsia="仿宋" w:cs="Times New Roman"/>
          <w:kern w:val="0"/>
          <w:sz w:val="32"/>
          <w:szCs w:val="32"/>
        </w:rPr>
        <w:t>。</w:t>
      </w:r>
    </w:p>
    <w:p>
      <w:pPr>
        <w:widowControl/>
        <w:numPr>
          <w:ilvl w:val="0"/>
          <w:numId w:val="4"/>
        </w:numPr>
        <w:adjustRightInd w:val="0"/>
        <w:snapToGrid w:val="0"/>
        <w:spacing w:line="3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尾款</w:t>
      </w:r>
      <w:r>
        <w:rPr>
          <w:rFonts w:ascii="仿宋" w:hAnsi="仿宋" w:eastAsia="仿宋" w:cs="Times New Roman"/>
          <w:kern w:val="0"/>
          <w:sz w:val="32"/>
          <w:szCs w:val="32"/>
        </w:rPr>
        <w:t>：</w:t>
      </w:r>
      <w:r>
        <w:rPr>
          <w:rFonts w:hint="eastAsia" w:ascii="仿宋" w:hAnsi="仿宋" w:eastAsia="仿宋" w:cs="Times New Roman"/>
          <w:kern w:val="0"/>
          <w:sz w:val="32"/>
          <w:szCs w:val="32"/>
        </w:rPr>
        <w:t>项目</w:t>
      </w:r>
      <w:r>
        <w:rPr>
          <w:rFonts w:ascii="仿宋" w:hAnsi="仿宋" w:eastAsia="仿宋" w:cs="Times New Roman"/>
          <w:kern w:val="0"/>
          <w:sz w:val="32"/>
          <w:szCs w:val="32"/>
        </w:rPr>
        <w:t>验收合格后10个工作日内，向乙方支付合同总金额的</w:t>
      </w:r>
      <w:r>
        <w:rPr>
          <w:rFonts w:hint="eastAsia" w:ascii="仿宋" w:hAnsi="仿宋" w:eastAsia="仿宋" w:cs="Times New Roman"/>
          <w:kern w:val="0"/>
          <w:sz w:val="32"/>
          <w:szCs w:val="32"/>
        </w:rPr>
        <w:t>50</w:t>
      </w:r>
      <w:r>
        <w:rPr>
          <w:rFonts w:ascii="仿宋" w:hAnsi="仿宋" w:eastAsia="仿宋" w:cs="Times New Roman"/>
          <w:kern w:val="0"/>
          <w:sz w:val="32"/>
          <w:szCs w:val="32"/>
        </w:rPr>
        <w:t>%</w:t>
      </w:r>
      <w:r>
        <w:rPr>
          <w:rFonts w:hint="eastAsia" w:ascii="仿宋" w:hAnsi="仿宋" w:eastAsia="仿宋" w:cs="Times New Roman"/>
          <w:kern w:val="0"/>
          <w:sz w:val="32"/>
          <w:szCs w:val="32"/>
        </w:rPr>
        <w:t>。</w:t>
      </w:r>
    </w:p>
    <w:p>
      <w:pPr>
        <w:widowControl/>
        <w:spacing w:line="360" w:lineRule="exact"/>
        <w:jc w:val="left"/>
        <w:rPr>
          <w:rFonts w:ascii="仿宋" w:hAnsi="仿宋" w:eastAsia="仿宋" w:cs="Arial"/>
          <w:b/>
          <w:sz w:val="32"/>
          <w:szCs w:val="32"/>
        </w:rPr>
      </w:pPr>
      <w:r>
        <w:rPr>
          <w:rFonts w:hint="eastAsia" w:ascii="仿宋" w:hAnsi="仿宋" w:eastAsia="仿宋" w:cs="Times New Roman"/>
          <w:kern w:val="0"/>
          <w:sz w:val="32"/>
          <w:szCs w:val="32"/>
        </w:rPr>
        <w:t xml:space="preserve">    </w:t>
      </w:r>
      <w:r>
        <w:rPr>
          <w:rFonts w:ascii="仿宋" w:hAnsi="仿宋" w:eastAsia="仿宋" w:cs="Times New Roman"/>
          <w:kern w:val="0"/>
          <w:sz w:val="32"/>
          <w:szCs w:val="32"/>
        </w:rPr>
        <w:t>付款时间为甲方向政府采购支付部门提出支付申请的时间（不含政府财政部门审批及银行到账的时间）。</w:t>
      </w:r>
    </w:p>
    <w:p>
      <w:pPr>
        <w:widowControl/>
        <w:spacing w:line="300" w:lineRule="exact"/>
        <w:jc w:val="left"/>
        <w:rPr>
          <w:rFonts w:ascii="仿宋" w:hAnsi="仿宋" w:eastAsia="仿宋" w:cs="Arial"/>
          <w:b/>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F0DDB"/>
    <w:multiLevelType w:val="singleLevel"/>
    <w:tmpl w:val="BB4F0DDB"/>
    <w:lvl w:ilvl="0" w:tentative="0">
      <w:start w:val="1"/>
      <w:numFmt w:val="decimal"/>
      <w:suff w:val="space"/>
      <w:lvlText w:val="%1."/>
      <w:lvlJc w:val="left"/>
    </w:lvl>
  </w:abstractNum>
  <w:abstractNum w:abstractNumId="1">
    <w:nsid w:val="003A5B29"/>
    <w:multiLevelType w:val="multilevel"/>
    <w:tmpl w:val="003A5B2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25F0504"/>
    <w:multiLevelType w:val="multilevel"/>
    <w:tmpl w:val="125F0504"/>
    <w:lvl w:ilvl="0" w:tentative="0">
      <w:start w:val="1"/>
      <w:numFmt w:val="decimal"/>
      <w:suff w:val="space"/>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F6EC4FA"/>
    <w:multiLevelType w:val="singleLevel"/>
    <w:tmpl w:val="7F6EC4FA"/>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Q1MDdmMzJmYzZlOTdmMjk0OTAyMDFiZGU1MmEifQ=="/>
  </w:docVars>
  <w:rsids>
    <w:rsidRoot w:val="001524C0"/>
    <w:rsid w:val="00000490"/>
    <w:rsid w:val="00007002"/>
    <w:rsid w:val="00013645"/>
    <w:rsid w:val="000163B7"/>
    <w:rsid w:val="0003340F"/>
    <w:rsid w:val="00037903"/>
    <w:rsid w:val="00041492"/>
    <w:rsid w:val="00052C60"/>
    <w:rsid w:val="00081DA2"/>
    <w:rsid w:val="00091DB2"/>
    <w:rsid w:val="000A7633"/>
    <w:rsid w:val="000C387C"/>
    <w:rsid w:val="000C67BB"/>
    <w:rsid w:val="000D5D06"/>
    <w:rsid w:val="000E2834"/>
    <w:rsid w:val="000F1ED7"/>
    <w:rsid w:val="001014F9"/>
    <w:rsid w:val="0010281B"/>
    <w:rsid w:val="001149E8"/>
    <w:rsid w:val="00145D30"/>
    <w:rsid w:val="001524C0"/>
    <w:rsid w:val="00160261"/>
    <w:rsid w:val="00170ADF"/>
    <w:rsid w:val="00173A90"/>
    <w:rsid w:val="00182391"/>
    <w:rsid w:val="00197CF0"/>
    <w:rsid w:val="001E01E9"/>
    <w:rsid w:val="001E04B8"/>
    <w:rsid w:val="001E5758"/>
    <w:rsid w:val="001E589C"/>
    <w:rsid w:val="001F46DA"/>
    <w:rsid w:val="00201177"/>
    <w:rsid w:val="00205351"/>
    <w:rsid w:val="00205EE5"/>
    <w:rsid w:val="002068B8"/>
    <w:rsid w:val="00235B41"/>
    <w:rsid w:val="00265399"/>
    <w:rsid w:val="00275591"/>
    <w:rsid w:val="002B2E58"/>
    <w:rsid w:val="002B346D"/>
    <w:rsid w:val="002F4322"/>
    <w:rsid w:val="0030621E"/>
    <w:rsid w:val="00310DAF"/>
    <w:rsid w:val="00337EF8"/>
    <w:rsid w:val="00342E90"/>
    <w:rsid w:val="003442A3"/>
    <w:rsid w:val="003933ED"/>
    <w:rsid w:val="00396A62"/>
    <w:rsid w:val="0039754A"/>
    <w:rsid w:val="003B142C"/>
    <w:rsid w:val="003B7FA5"/>
    <w:rsid w:val="003E7EC1"/>
    <w:rsid w:val="00400EDE"/>
    <w:rsid w:val="00404312"/>
    <w:rsid w:val="00405981"/>
    <w:rsid w:val="00414BA8"/>
    <w:rsid w:val="00426C2B"/>
    <w:rsid w:val="00427D92"/>
    <w:rsid w:val="004418AC"/>
    <w:rsid w:val="004513AC"/>
    <w:rsid w:val="0045270E"/>
    <w:rsid w:val="004543BD"/>
    <w:rsid w:val="004566DD"/>
    <w:rsid w:val="00472215"/>
    <w:rsid w:val="00473045"/>
    <w:rsid w:val="004803D5"/>
    <w:rsid w:val="004929F3"/>
    <w:rsid w:val="004B508E"/>
    <w:rsid w:val="004D624F"/>
    <w:rsid w:val="004F2FB5"/>
    <w:rsid w:val="004F7643"/>
    <w:rsid w:val="00505E9A"/>
    <w:rsid w:val="00511DB2"/>
    <w:rsid w:val="005276C9"/>
    <w:rsid w:val="005306B7"/>
    <w:rsid w:val="00532536"/>
    <w:rsid w:val="00536575"/>
    <w:rsid w:val="00547F89"/>
    <w:rsid w:val="005779E8"/>
    <w:rsid w:val="00580734"/>
    <w:rsid w:val="00590807"/>
    <w:rsid w:val="00595DA5"/>
    <w:rsid w:val="005C329E"/>
    <w:rsid w:val="005C42DB"/>
    <w:rsid w:val="005C611F"/>
    <w:rsid w:val="005D211D"/>
    <w:rsid w:val="005D5C22"/>
    <w:rsid w:val="005E30CA"/>
    <w:rsid w:val="005E4C43"/>
    <w:rsid w:val="005E7949"/>
    <w:rsid w:val="005F1739"/>
    <w:rsid w:val="005F5A53"/>
    <w:rsid w:val="00602B2E"/>
    <w:rsid w:val="00603905"/>
    <w:rsid w:val="006234FD"/>
    <w:rsid w:val="00626519"/>
    <w:rsid w:val="006356C3"/>
    <w:rsid w:val="0063635C"/>
    <w:rsid w:val="00645917"/>
    <w:rsid w:val="0064601C"/>
    <w:rsid w:val="00651592"/>
    <w:rsid w:val="0068360E"/>
    <w:rsid w:val="006925CB"/>
    <w:rsid w:val="00696C20"/>
    <w:rsid w:val="006A26BB"/>
    <w:rsid w:val="006A4DBC"/>
    <w:rsid w:val="006A5570"/>
    <w:rsid w:val="006A71CA"/>
    <w:rsid w:val="006B1A41"/>
    <w:rsid w:val="006B2772"/>
    <w:rsid w:val="006C70E4"/>
    <w:rsid w:val="006E164A"/>
    <w:rsid w:val="006E46B4"/>
    <w:rsid w:val="0071281D"/>
    <w:rsid w:val="00716C88"/>
    <w:rsid w:val="00741CFF"/>
    <w:rsid w:val="00742340"/>
    <w:rsid w:val="007428DA"/>
    <w:rsid w:val="0074598D"/>
    <w:rsid w:val="007571BB"/>
    <w:rsid w:val="00774058"/>
    <w:rsid w:val="00791A7D"/>
    <w:rsid w:val="00791C5B"/>
    <w:rsid w:val="007A2F86"/>
    <w:rsid w:val="007A3125"/>
    <w:rsid w:val="007A5320"/>
    <w:rsid w:val="007A667B"/>
    <w:rsid w:val="007B2B0B"/>
    <w:rsid w:val="007B378E"/>
    <w:rsid w:val="007C026C"/>
    <w:rsid w:val="007C588E"/>
    <w:rsid w:val="007D5D77"/>
    <w:rsid w:val="007D74B1"/>
    <w:rsid w:val="007E5B41"/>
    <w:rsid w:val="0080431E"/>
    <w:rsid w:val="008075A5"/>
    <w:rsid w:val="008134BE"/>
    <w:rsid w:val="00834542"/>
    <w:rsid w:val="00851522"/>
    <w:rsid w:val="008623D6"/>
    <w:rsid w:val="00870E51"/>
    <w:rsid w:val="00892774"/>
    <w:rsid w:val="008A198A"/>
    <w:rsid w:val="008C7615"/>
    <w:rsid w:val="008D0A86"/>
    <w:rsid w:val="008E025E"/>
    <w:rsid w:val="008E6503"/>
    <w:rsid w:val="008F4C2D"/>
    <w:rsid w:val="00900FEA"/>
    <w:rsid w:val="00916041"/>
    <w:rsid w:val="0092170E"/>
    <w:rsid w:val="00952805"/>
    <w:rsid w:val="00960D14"/>
    <w:rsid w:val="0096147F"/>
    <w:rsid w:val="00982B5A"/>
    <w:rsid w:val="009840B1"/>
    <w:rsid w:val="0098451C"/>
    <w:rsid w:val="00985318"/>
    <w:rsid w:val="00987D64"/>
    <w:rsid w:val="0099785D"/>
    <w:rsid w:val="00997F5F"/>
    <w:rsid w:val="009B377B"/>
    <w:rsid w:val="009C67D4"/>
    <w:rsid w:val="009C69BB"/>
    <w:rsid w:val="009D1113"/>
    <w:rsid w:val="009D7981"/>
    <w:rsid w:val="009E5DC3"/>
    <w:rsid w:val="009F7881"/>
    <w:rsid w:val="00A168FA"/>
    <w:rsid w:val="00A175DF"/>
    <w:rsid w:val="00A2432D"/>
    <w:rsid w:val="00A53032"/>
    <w:rsid w:val="00A6312B"/>
    <w:rsid w:val="00A74187"/>
    <w:rsid w:val="00A77E86"/>
    <w:rsid w:val="00A82D83"/>
    <w:rsid w:val="00A93D0D"/>
    <w:rsid w:val="00AA6C93"/>
    <w:rsid w:val="00AA7EE8"/>
    <w:rsid w:val="00AB118E"/>
    <w:rsid w:val="00AC4D54"/>
    <w:rsid w:val="00AD7709"/>
    <w:rsid w:val="00AE045C"/>
    <w:rsid w:val="00B016A3"/>
    <w:rsid w:val="00B03450"/>
    <w:rsid w:val="00B0414A"/>
    <w:rsid w:val="00B14C18"/>
    <w:rsid w:val="00B238B1"/>
    <w:rsid w:val="00B46665"/>
    <w:rsid w:val="00B54A36"/>
    <w:rsid w:val="00B77810"/>
    <w:rsid w:val="00B81977"/>
    <w:rsid w:val="00BA0E3D"/>
    <w:rsid w:val="00BC3A74"/>
    <w:rsid w:val="00BC51C3"/>
    <w:rsid w:val="00BC7562"/>
    <w:rsid w:val="00BD2DBB"/>
    <w:rsid w:val="00BD698E"/>
    <w:rsid w:val="00BE3ED3"/>
    <w:rsid w:val="00BE7043"/>
    <w:rsid w:val="00BF3471"/>
    <w:rsid w:val="00C115D5"/>
    <w:rsid w:val="00C12FB8"/>
    <w:rsid w:val="00C35529"/>
    <w:rsid w:val="00C35708"/>
    <w:rsid w:val="00C369A5"/>
    <w:rsid w:val="00C4335E"/>
    <w:rsid w:val="00C537F5"/>
    <w:rsid w:val="00C65FE4"/>
    <w:rsid w:val="00C72BA7"/>
    <w:rsid w:val="00C82A99"/>
    <w:rsid w:val="00CA17E2"/>
    <w:rsid w:val="00CB52AB"/>
    <w:rsid w:val="00CC0504"/>
    <w:rsid w:val="00CC108B"/>
    <w:rsid w:val="00CC2586"/>
    <w:rsid w:val="00CD0B80"/>
    <w:rsid w:val="00CD2C72"/>
    <w:rsid w:val="00CD3315"/>
    <w:rsid w:val="00CD3702"/>
    <w:rsid w:val="00CD6121"/>
    <w:rsid w:val="00D17EE9"/>
    <w:rsid w:val="00D36DAB"/>
    <w:rsid w:val="00D37D13"/>
    <w:rsid w:val="00D52BBA"/>
    <w:rsid w:val="00D576C3"/>
    <w:rsid w:val="00D60E80"/>
    <w:rsid w:val="00D730D6"/>
    <w:rsid w:val="00D73939"/>
    <w:rsid w:val="00D77880"/>
    <w:rsid w:val="00DC35E6"/>
    <w:rsid w:val="00DC7ED5"/>
    <w:rsid w:val="00DD4303"/>
    <w:rsid w:val="00DE2753"/>
    <w:rsid w:val="00DF62F0"/>
    <w:rsid w:val="00DF6E6D"/>
    <w:rsid w:val="00E002B9"/>
    <w:rsid w:val="00E25F28"/>
    <w:rsid w:val="00E5356A"/>
    <w:rsid w:val="00E67327"/>
    <w:rsid w:val="00E75080"/>
    <w:rsid w:val="00E83B69"/>
    <w:rsid w:val="00ED0CE9"/>
    <w:rsid w:val="00ED2D26"/>
    <w:rsid w:val="00ED774D"/>
    <w:rsid w:val="00EE06A9"/>
    <w:rsid w:val="00EE3F84"/>
    <w:rsid w:val="00EF1733"/>
    <w:rsid w:val="00EF6AB1"/>
    <w:rsid w:val="00F0310F"/>
    <w:rsid w:val="00F04984"/>
    <w:rsid w:val="00F33B76"/>
    <w:rsid w:val="00F37398"/>
    <w:rsid w:val="00F54ABC"/>
    <w:rsid w:val="00F82F18"/>
    <w:rsid w:val="00F9124B"/>
    <w:rsid w:val="00F952FA"/>
    <w:rsid w:val="00FA701C"/>
    <w:rsid w:val="00FD5C5D"/>
    <w:rsid w:val="00FD7362"/>
    <w:rsid w:val="00FE5A39"/>
    <w:rsid w:val="00FF2A19"/>
    <w:rsid w:val="4723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link w:val="20"/>
    <w:unhideWhenUsed/>
    <w:qFormat/>
    <w:uiPriority w:val="0"/>
    <w:pPr>
      <w:adjustRightInd w:val="0"/>
      <w:spacing w:line="240" w:lineRule="auto"/>
      <w:jc w:val="center"/>
      <w:textAlignment w:val="baseline"/>
      <w:outlineLvl w:val="1"/>
    </w:pPr>
    <w:rPr>
      <w:rFonts w:ascii="宋体" w:hAnsi="宋体" w:eastAsia="宋体"/>
      <w:kern w:val="0"/>
      <w:sz w:val="24"/>
      <w:szCs w:val="20"/>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nhideWhenUsed/>
    <w:uiPriority w:val="0"/>
    <w:pPr>
      <w:spacing w:after="120"/>
    </w:pPr>
    <w:rPr>
      <w:szCs w:val="24"/>
    </w:rPr>
  </w:style>
  <w:style w:type="paragraph" w:styleId="6">
    <w:name w:val="Plain Text"/>
    <w:basedOn w:val="1"/>
    <w:link w:val="28"/>
    <w:qFormat/>
    <w:uiPriority w:val="0"/>
    <w:rPr>
      <w:rFonts w:ascii="宋体" w:hAnsi="Courier New" w:eastAsia="宋体" w:cs="Times New Roman"/>
      <w:szCs w:val="24"/>
    </w:rPr>
  </w:style>
  <w:style w:type="paragraph" w:styleId="7">
    <w:name w:val="Date"/>
    <w:basedOn w:val="1"/>
    <w:next w:val="1"/>
    <w:link w:val="27"/>
    <w:semiHidden/>
    <w:unhideWhenUsed/>
    <w:uiPriority w:val="99"/>
    <w:pPr>
      <w:ind w:left="100" w:leftChars="2500"/>
    </w:p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spacing w:beforeAutospacing="1" w:afterAutospacing="1"/>
      <w:jc w:val="left"/>
    </w:pPr>
    <w:rPr>
      <w:rFonts w:cs="Times New Roman"/>
      <w:kern w:val="0"/>
      <w:sz w:val="24"/>
      <w:szCs w:val="24"/>
    </w:rPr>
  </w:style>
  <w:style w:type="paragraph" w:styleId="12">
    <w:name w:val="Title"/>
    <w:basedOn w:val="1"/>
    <w:next w:val="1"/>
    <w:link w:val="22"/>
    <w:qFormat/>
    <w:uiPriority w:val="0"/>
    <w:pPr>
      <w:spacing w:before="240" w:after="60"/>
      <w:jc w:val="center"/>
      <w:outlineLvl w:val="0"/>
    </w:pPr>
    <w:rPr>
      <w:rFonts w:ascii="Cambria" w:hAnsi="Cambria"/>
      <w:b/>
      <w:bCs/>
      <w:sz w:val="32"/>
      <w:szCs w:val="32"/>
    </w:rPr>
  </w:style>
  <w:style w:type="character" w:customStyle="1" w:styleId="15">
    <w:name w:val="页眉 Char"/>
    <w:basedOn w:val="14"/>
    <w:link w:val="10"/>
    <w:uiPriority w:val="99"/>
    <w:rPr>
      <w:sz w:val="18"/>
      <w:szCs w:val="18"/>
    </w:rPr>
  </w:style>
  <w:style w:type="character" w:customStyle="1" w:styleId="16">
    <w:name w:val="页脚 Char"/>
    <w:basedOn w:val="14"/>
    <w:link w:val="9"/>
    <w:uiPriority w:val="99"/>
    <w:rPr>
      <w:sz w:val="18"/>
      <w:szCs w:val="18"/>
    </w:rPr>
  </w:style>
  <w:style w:type="character" w:customStyle="1" w:styleId="17">
    <w:name w:val="批注框文本 Char"/>
    <w:basedOn w:val="14"/>
    <w:link w:val="8"/>
    <w:semiHidden/>
    <w:qFormat/>
    <w:uiPriority w:val="99"/>
    <w:rPr>
      <w:sz w:val="18"/>
      <w:szCs w:val="18"/>
    </w:rPr>
  </w:style>
  <w:style w:type="paragraph" w:styleId="18">
    <w:name w:val="List Paragraph"/>
    <w:basedOn w:val="1"/>
    <w:qFormat/>
    <w:uiPriority w:val="0"/>
    <w:pPr>
      <w:ind w:firstLine="420" w:firstLineChars="200"/>
    </w:pPr>
  </w:style>
  <w:style w:type="paragraph" w:customStyle="1" w:styleId="19">
    <w:name w:val="列出段落1"/>
    <w:basedOn w:val="1"/>
    <w:qFormat/>
    <w:uiPriority w:val="34"/>
    <w:pPr>
      <w:ind w:firstLine="420" w:firstLineChars="200"/>
    </w:pPr>
    <w:rPr>
      <w:rFonts w:ascii="Calibri" w:hAnsi="Calibri" w:eastAsia="宋体" w:cs="Times New Roman"/>
    </w:rPr>
  </w:style>
  <w:style w:type="character" w:customStyle="1" w:styleId="20">
    <w:name w:val="标题 2 Char"/>
    <w:basedOn w:val="14"/>
    <w:link w:val="2"/>
    <w:uiPriority w:val="0"/>
    <w:rPr>
      <w:rFonts w:ascii="宋体" w:hAnsi="宋体" w:eastAsia="宋体"/>
      <w:b/>
      <w:bCs/>
      <w:kern w:val="0"/>
      <w:sz w:val="24"/>
      <w:szCs w:val="20"/>
    </w:rPr>
  </w:style>
  <w:style w:type="character" w:customStyle="1" w:styleId="21">
    <w:name w:val="正文文本 Char"/>
    <w:basedOn w:val="14"/>
    <w:link w:val="5"/>
    <w:uiPriority w:val="0"/>
    <w:rPr>
      <w:szCs w:val="24"/>
    </w:rPr>
  </w:style>
  <w:style w:type="character" w:customStyle="1" w:styleId="22">
    <w:name w:val="标题 Char"/>
    <w:basedOn w:val="14"/>
    <w:link w:val="12"/>
    <w:uiPriority w:val="0"/>
    <w:rPr>
      <w:rFonts w:ascii="Cambria" w:hAnsi="Cambria"/>
      <w:b/>
      <w:bCs/>
      <w:sz w:val="32"/>
      <w:szCs w:val="32"/>
    </w:rPr>
  </w:style>
  <w:style w:type="paragraph" w:customStyle="1" w:styleId="23">
    <w:name w:val="_Style 2"/>
    <w:basedOn w:val="1"/>
    <w:qFormat/>
    <w:uiPriority w:val="0"/>
    <w:pPr>
      <w:ind w:firstLine="420" w:firstLineChars="200"/>
    </w:pPr>
    <w:rPr>
      <w:rFonts w:ascii="Calibri" w:hAnsi="Calibri"/>
    </w:rPr>
  </w:style>
  <w:style w:type="paragraph" w:customStyle="1" w:styleId="24">
    <w:name w:val="_Style 5"/>
    <w:basedOn w:val="1"/>
    <w:qFormat/>
    <w:uiPriority w:val="0"/>
    <w:pPr>
      <w:ind w:firstLine="420" w:firstLineChars="200"/>
    </w:pPr>
    <w:rPr>
      <w:rFonts w:ascii="Calibri" w:hAnsi="Calibri"/>
    </w:rPr>
  </w:style>
  <w:style w:type="character" w:customStyle="1" w:styleId="25">
    <w:name w:val="标题 3 Char"/>
    <w:basedOn w:val="14"/>
    <w:link w:val="3"/>
    <w:semiHidden/>
    <w:uiPriority w:val="9"/>
    <w:rPr>
      <w:b/>
      <w:bCs/>
      <w:sz w:val="32"/>
      <w:szCs w:val="32"/>
    </w:rPr>
  </w:style>
  <w:style w:type="character" w:customStyle="1" w:styleId="26">
    <w:name w:val="标题 4 Char"/>
    <w:basedOn w:val="14"/>
    <w:link w:val="4"/>
    <w:semiHidden/>
    <w:uiPriority w:val="9"/>
    <w:rPr>
      <w:rFonts w:asciiTheme="majorHAnsi" w:hAnsiTheme="majorHAnsi" w:eastAsiaTheme="majorEastAsia" w:cstheme="majorBidi"/>
      <w:b/>
      <w:bCs/>
      <w:sz w:val="28"/>
      <w:szCs w:val="28"/>
    </w:rPr>
  </w:style>
  <w:style w:type="character" w:customStyle="1" w:styleId="27">
    <w:name w:val="日期 Char"/>
    <w:basedOn w:val="14"/>
    <w:link w:val="7"/>
    <w:semiHidden/>
    <w:uiPriority w:val="99"/>
  </w:style>
  <w:style w:type="character" w:customStyle="1" w:styleId="28">
    <w:name w:val="纯文本 Char"/>
    <w:basedOn w:val="14"/>
    <w:link w:val="6"/>
    <w:uiPriority w:val="0"/>
    <w:rPr>
      <w:rFonts w:ascii="宋体" w:hAnsi="Courier New" w:eastAsia="宋体" w:cs="Times New Roman"/>
      <w:szCs w:val="24"/>
    </w:rPr>
  </w:style>
  <w:style w:type="paragraph" w:customStyle="1" w:styleId="29">
    <w:name w:val="段"/>
    <w:qFormat/>
    <w:uiPriority w:val="0"/>
    <w:pPr>
      <w:autoSpaceDE w:val="0"/>
      <w:autoSpaceDN w:val="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2940</Words>
  <Characters>3163</Characters>
  <Lines>23</Lines>
  <Paragraphs>6</Paragraphs>
  <TotalTime>66</TotalTime>
  <ScaleCrop>false</ScaleCrop>
  <LinksUpToDate>false</LinksUpToDate>
  <CharactersWithSpaces>3173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2022-11-07T02:51:00Z</dcterms:created>
  <dc:creator>谢羽鸿</dc:creator>
  <cp:lastModifiedBy>9993</cp:lastModifiedBy>
  <dcterms:modified xsi:type="dcterms:W3CDTF">2022-12-02T03:08:31Z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058AF25C3A204395AFF74F843B512C6E</vt:lpwstr>
  </property>
</Properties>
</file>