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ind w:left="3520" w:hanging="3520" w:hangingChars="1100"/>
        <w:jc w:val="left"/>
        <w:rPr>
          <w:rFonts w:hint="eastAsia" w:ascii="方正小标宋简体" w:hAnsi="Times New Roman" w:eastAsia="方正小标宋简体"/>
          <w:sz w:val="32"/>
          <w:szCs w:val="36"/>
        </w:rPr>
      </w:pPr>
      <w:r>
        <w:rPr>
          <w:rFonts w:hint="eastAsia" w:ascii="方正小标宋简体" w:hAnsi="Times New Roman" w:eastAsia="方正小标宋简体"/>
          <w:sz w:val="32"/>
          <w:szCs w:val="36"/>
        </w:rPr>
        <w:t>附件1：</w:t>
      </w:r>
      <w:bookmarkStart w:id="0" w:name="_Toc128884461"/>
    </w:p>
    <w:p>
      <w:pPr>
        <w:spacing w:beforeLines="0" w:afterLines="0" w:line="560" w:lineRule="exact"/>
        <w:ind w:left="3520" w:hanging="4840" w:hangingChars="1100"/>
        <w:jc w:val="center"/>
        <w:rPr>
          <w:rFonts w:hint="eastAsia" w:ascii="方正小标宋简体" w:hAnsi="Times New Roman" w:eastAsia="方正小标宋简体"/>
          <w:sz w:val="32"/>
          <w:szCs w:val="36"/>
        </w:rPr>
      </w:pPr>
      <w:r>
        <w:rPr>
          <w:rFonts w:hint="eastAsia" w:ascii="方正小标宋简体" w:hAnsi="Times New Roman" w:eastAsia="方正小标宋简体"/>
          <w:sz w:val="44"/>
          <w:szCs w:val="44"/>
        </w:rPr>
        <w:t>罗湖法院2026年度警用装备项目采购内容</w:t>
      </w:r>
    </w:p>
    <w:p>
      <w:pPr>
        <w:spacing w:beforeLines="0" w:afterLines="0" w:line="560" w:lineRule="exact"/>
        <w:ind w:left="3520" w:hanging="3520" w:hangingChars="1100"/>
        <w:jc w:val="left"/>
        <w:rPr>
          <w:rFonts w:hint="eastAsia" w:ascii="方正小标宋简体" w:hAnsi="Times New Roman" w:eastAsia="方正小标宋简体"/>
          <w:sz w:val="32"/>
          <w:szCs w:val="36"/>
        </w:rPr>
      </w:pPr>
    </w:p>
    <w:bookmarkEnd w:id="0"/>
    <w:p>
      <w:pPr>
        <w:numPr>
          <w:ilvl w:val="0"/>
          <w:numId w:val="1"/>
        </w:numPr>
        <w:spacing w:beforeLines="0" w:afterLines="0" w:line="520" w:lineRule="exact"/>
        <w:jc w:val="left"/>
        <w:rPr>
          <w:rFonts w:hint="eastAsia" w:ascii="仿宋" w:hAnsi="仿宋" w:eastAsia="仿宋" w:cs="楷体_GB2312"/>
          <w:b/>
          <w:sz w:val="32"/>
          <w:szCs w:val="32"/>
        </w:rPr>
      </w:pPr>
      <w:r>
        <w:rPr>
          <w:rFonts w:hint="eastAsia" w:ascii="仿宋" w:hAnsi="仿宋" w:eastAsia="仿宋" w:cs="楷体_GB2312"/>
          <w:b/>
          <w:sz w:val="32"/>
          <w:szCs w:val="32"/>
        </w:rPr>
        <w:t>采购清单</w:t>
      </w:r>
    </w:p>
    <w:p>
      <w:pPr>
        <w:spacing w:beforeLines="0" w:afterLines="0" w:line="520" w:lineRule="exact"/>
        <w:jc w:val="left"/>
        <w:rPr>
          <w:rFonts w:hint="eastAsia" w:ascii="仿宋" w:hAnsi="仿宋" w:eastAsia="仿宋" w:cs="楷体_GB2312"/>
          <w:b/>
          <w:sz w:val="32"/>
          <w:szCs w:val="32"/>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0"/>
        <w:gridCol w:w="4734"/>
        <w:gridCol w:w="2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序号</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采购装备</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采购数量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强光手电</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2</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警用多功能腰带</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3</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手持金属探测器</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4</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一次性警戒带</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5</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防毒面具</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6</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警用喊话器</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7</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伞式遮挡布</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8</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酒精测试仪</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9</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多功能战术背心</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10</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金属手铐</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11</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防爆桶</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12</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警绳</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1890"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13</w:t>
            </w:r>
          </w:p>
        </w:tc>
        <w:tc>
          <w:tcPr>
            <w:tcW w:w="4734"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鞋底金属检测仪</w:t>
            </w:r>
          </w:p>
        </w:tc>
        <w:tc>
          <w:tcPr>
            <w:tcW w:w="243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2</w:t>
            </w:r>
          </w:p>
        </w:tc>
      </w:tr>
    </w:tbl>
    <w:p>
      <w:pPr>
        <w:numPr>
          <w:ilvl w:val="0"/>
          <w:numId w:val="0"/>
        </w:numPr>
        <w:spacing w:beforeLines="0" w:afterLines="0" w:line="520" w:lineRule="exact"/>
        <w:jc w:val="left"/>
        <w:rPr>
          <w:rFonts w:hint="eastAsia" w:ascii="方正小标宋简体" w:hAnsi="Times New Roman" w:eastAsia="方正小标宋简体"/>
          <w:sz w:val="44"/>
          <w:szCs w:val="44"/>
        </w:rPr>
      </w:pPr>
    </w:p>
    <w:p>
      <w:pPr>
        <w:numPr>
          <w:ilvl w:val="0"/>
          <w:numId w:val="0"/>
        </w:numPr>
        <w:spacing w:beforeLines="0" w:afterLines="0" w:line="520" w:lineRule="exact"/>
        <w:jc w:val="left"/>
        <w:rPr>
          <w:rFonts w:hint="eastAsia" w:ascii="方正小标宋简体" w:hAnsi="Times New Roman" w:eastAsia="方正小标宋简体"/>
          <w:sz w:val="44"/>
          <w:szCs w:val="44"/>
        </w:rPr>
      </w:pPr>
    </w:p>
    <w:p>
      <w:pPr>
        <w:numPr>
          <w:ilvl w:val="0"/>
          <w:numId w:val="0"/>
        </w:numPr>
        <w:spacing w:beforeLines="0" w:afterLines="0" w:line="520" w:lineRule="exact"/>
        <w:jc w:val="left"/>
        <w:rPr>
          <w:rFonts w:hint="eastAsia" w:ascii="方正小标宋简体" w:hAnsi="Times New Roman" w:eastAsia="方正小标宋简体"/>
          <w:sz w:val="44"/>
          <w:szCs w:val="44"/>
        </w:rPr>
      </w:pPr>
      <w:bookmarkStart w:id="1" w:name="_GoBack"/>
      <w:bookmarkEnd w:id="1"/>
    </w:p>
    <w:p>
      <w:pPr>
        <w:numPr>
          <w:ilvl w:val="0"/>
          <w:numId w:val="1"/>
        </w:numPr>
        <w:spacing w:beforeLines="0" w:afterLines="0" w:line="520" w:lineRule="exact"/>
        <w:jc w:val="left"/>
        <w:rPr>
          <w:rFonts w:hint="eastAsia" w:ascii="仿宋" w:hAnsi="仿宋" w:eastAsia="仿宋" w:cs="楷体_GB2312"/>
          <w:b/>
          <w:sz w:val="32"/>
          <w:szCs w:val="32"/>
        </w:rPr>
      </w:pPr>
      <w:r>
        <w:rPr>
          <w:rFonts w:hint="eastAsia" w:ascii="仿宋" w:hAnsi="仿宋" w:eastAsia="仿宋" w:cs="楷体_GB2312"/>
          <w:b/>
          <w:sz w:val="32"/>
          <w:szCs w:val="32"/>
        </w:rPr>
        <w:t>样品清单</w:t>
      </w:r>
    </w:p>
    <w:p>
      <w:pPr>
        <w:numPr>
          <w:ilvl w:val="0"/>
          <w:numId w:val="0"/>
        </w:numPr>
        <w:spacing w:beforeLines="0" w:afterLines="0" w:line="520" w:lineRule="exact"/>
        <w:jc w:val="left"/>
        <w:rPr>
          <w:rFonts w:hint="eastAsia" w:ascii="仿宋" w:hAnsi="仿宋" w:eastAsia="仿宋" w:cs="楷体_GB2312"/>
          <w:b/>
          <w:sz w:val="32"/>
          <w:szCs w:val="32"/>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6"/>
        <w:gridCol w:w="3947"/>
        <w:gridCol w:w="3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730"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top"/>
          </w:tcPr>
          <w:p>
            <w:pPr>
              <w:adjustRightInd w:val="0"/>
              <w:snapToGrid w:val="0"/>
              <w:spacing w:beforeLines="0" w:afterLines="0"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top"/>
          </w:tcPr>
          <w:p>
            <w:pPr>
              <w:adjustRightInd w:val="0"/>
              <w:snapToGrid w:val="0"/>
              <w:spacing w:beforeLines="0" w:afterLines="0"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装备名称</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top"/>
          </w:tcPr>
          <w:p>
            <w:pPr>
              <w:adjustRightInd w:val="0"/>
              <w:snapToGrid w:val="0"/>
              <w:spacing w:beforeLines="0" w:afterLines="0"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355"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强光手电</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943610" cy="601345"/>
                  <wp:effectExtent l="0" t="0" r="1270" b="8255"/>
                  <wp:docPr id="38" name="图片 3" descr="2020022019480001480539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2020022019480001480539_medium"/>
                          <pic:cNvPicPr>
                            <a:picLocks noChangeAspect="1"/>
                          </pic:cNvPicPr>
                        </pic:nvPicPr>
                        <pic:blipFill>
                          <a:blip r:embed="rId5"/>
                          <a:srcRect t="18114" b="16667"/>
                          <a:stretch>
                            <a:fillRect/>
                          </a:stretch>
                        </pic:blipFill>
                        <pic:spPr>
                          <a:xfrm>
                            <a:off x="0" y="0"/>
                            <a:ext cx="943610" cy="60134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787"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2</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警用多功能腰带</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905510" cy="652145"/>
                  <wp:effectExtent l="0" t="0" r="8890" b="3175"/>
                  <wp:docPr id="37" name="图片 1" descr="QQ截图2020080815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QQ截图20200808152033"/>
                          <pic:cNvPicPr>
                            <a:picLocks noChangeAspect="1"/>
                          </pic:cNvPicPr>
                        </pic:nvPicPr>
                        <pic:blipFill>
                          <a:blip r:embed="rId6"/>
                          <a:stretch>
                            <a:fillRect/>
                          </a:stretch>
                        </pic:blipFill>
                        <pic:spPr>
                          <a:xfrm>
                            <a:off x="0" y="0"/>
                            <a:ext cx="905510" cy="65214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3</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手持金属探测器</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1085850" cy="3152775"/>
                  <wp:effectExtent l="0" t="0" r="11430" b="1905"/>
                  <wp:docPr id="47" name="图片 6"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 descr="未命名"/>
                          <pic:cNvPicPr>
                            <a:picLocks noChangeAspect="1"/>
                          </pic:cNvPicPr>
                        </pic:nvPicPr>
                        <pic:blipFill>
                          <a:blip r:embed="rId7"/>
                          <a:stretch>
                            <a:fillRect/>
                          </a:stretch>
                        </pic:blipFill>
                        <pic:spPr>
                          <a:xfrm>
                            <a:off x="0" y="0"/>
                            <a:ext cx="1085850" cy="31527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862"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4</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一次性警戒带</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1690370" cy="1153795"/>
                  <wp:effectExtent l="0" t="0" r="1270" b="444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8"/>
                          <a:srcRect t="18309" b="42088"/>
                          <a:stretch>
                            <a:fillRect/>
                          </a:stretch>
                        </pic:blipFill>
                        <pic:spPr>
                          <a:xfrm>
                            <a:off x="0" y="0"/>
                            <a:ext cx="1690370" cy="11537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972"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5</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防毒面具</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918210" cy="1122045"/>
                  <wp:effectExtent l="0" t="0" r="11430" b="5715"/>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9"/>
                          <a:stretch>
                            <a:fillRect/>
                          </a:stretch>
                        </pic:blipFill>
                        <pic:spPr>
                          <a:xfrm>
                            <a:off x="0" y="0"/>
                            <a:ext cx="918210" cy="112204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695"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6</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警用喊话器</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722630" cy="660400"/>
                  <wp:effectExtent l="0" t="0" r="8890" b="10160"/>
                  <wp:docPr id="28" name="图片 11" descr="C:/Users/DELL/AppData/Local/Temp/kaimatting/20201221100920/output_aiMatting_20201221100928.pngoutput_aiMatting_2020122110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descr="C:/Users/DELL/AppData/Local/Temp/kaimatting/20201221100920/output_aiMatting_20201221100928.pngoutput_aiMatting_20201221100928"/>
                          <pic:cNvPicPr>
                            <a:picLocks noChangeAspect="1"/>
                          </pic:cNvPicPr>
                        </pic:nvPicPr>
                        <pic:blipFill>
                          <a:blip r:embed="rId10"/>
                          <a:stretch>
                            <a:fillRect/>
                          </a:stretch>
                        </pic:blipFill>
                        <pic:spPr>
                          <a:xfrm>
                            <a:off x="0" y="0"/>
                            <a:ext cx="722630" cy="6604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582"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7</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伞式遮挡布</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876300" cy="656590"/>
                  <wp:effectExtent l="0" t="0" r="7620" b="13970"/>
                  <wp:docPr id="29" name="图片 2" descr="C:\Users\yqwlx\AppData\Local\Temp\WeChat Files\3362014ec5c9a1438637ee3cea943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C:\Users\yqwlx\AppData\Local\Temp\WeChat Files\3362014ec5c9a1438637ee3cea943f2.jpg"/>
                          <pic:cNvPicPr>
                            <a:picLocks noChangeAspect="1"/>
                          </pic:cNvPicPr>
                        </pic:nvPicPr>
                        <pic:blipFill>
                          <a:blip r:embed="rId11"/>
                          <a:stretch>
                            <a:fillRect/>
                          </a:stretch>
                        </pic:blipFill>
                        <pic:spPr>
                          <a:xfrm>
                            <a:off x="0" y="0"/>
                            <a:ext cx="876300" cy="65659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581"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8</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酒精测试仪</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913765" cy="744220"/>
                  <wp:effectExtent l="0" t="0" r="635" b="2540"/>
                  <wp:docPr id="3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9"/>
                          <pic:cNvPicPr>
                            <a:picLocks noChangeAspect="1"/>
                          </pic:cNvPicPr>
                        </pic:nvPicPr>
                        <pic:blipFill>
                          <a:blip r:embed="rId12"/>
                          <a:srcRect t="15993" b="14268"/>
                          <a:stretch>
                            <a:fillRect/>
                          </a:stretch>
                        </pic:blipFill>
                        <pic:spPr>
                          <a:xfrm>
                            <a:off x="0" y="0"/>
                            <a:ext cx="913765" cy="74422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467"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9</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多功能战术背心</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964565" cy="1217930"/>
                  <wp:effectExtent l="0" t="0" r="10795" b="127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3"/>
                          <a:stretch>
                            <a:fillRect/>
                          </a:stretch>
                        </pic:blipFill>
                        <pic:spPr>
                          <a:xfrm>
                            <a:off x="0" y="0"/>
                            <a:ext cx="964565" cy="121793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667"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10</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金属手铐</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972820" cy="679450"/>
                  <wp:effectExtent l="0" t="0" r="2540" b="6350"/>
                  <wp:docPr id="32" name="图片 21" descr="白底宽_副本_副本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1" descr="白底宽_副本_副本 (1)"/>
                          <pic:cNvPicPr>
                            <a:picLocks noChangeAspect="1"/>
                          </pic:cNvPicPr>
                        </pic:nvPicPr>
                        <pic:blipFill>
                          <a:blip r:embed="rId14"/>
                          <a:srcRect t="19182" b="12404"/>
                          <a:stretch>
                            <a:fillRect/>
                          </a:stretch>
                        </pic:blipFill>
                        <pic:spPr>
                          <a:xfrm>
                            <a:off x="0" y="0"/>
                            <a:ext cx="972820" cy="67945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767"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11</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警绳</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868045" cy="731520"/>
                  <wp:effectExtent l="0" t="0" r="635"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15"/>
                          <a:stretch>
                            <a:fillRect/>
                          </a:stretch>
                        </pic:blipFill>
                        <pic:spPr>
                          <a:xfrm>
                            <a:off x="0" y="0"/>
                            <a:ext cx="868045" cy="73152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785" w:hRule="atLeast"/>
          <w:jc w:val="center"/>
        </w:trPr>
        <w:tc>
          <w:tcPr>
            <w:tcW w:w="2406"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12</w:t>
            </w:r>
          </w:p>
        </w:tc>
        <w:tc>
          <w:tcPr>
            <w:tcW w:w="3947" w:type="dxa"/>
            <w:tcBorders>
              <w:top w:val="single" w:color="auto" w:sz="4" w:space="0"/>
              <w:left w:val="single" w:color="auto" w:sz="4" w:space="0"/>
              <w:bottom w:val="single" w:color="auto" w:sz="4" w:space="0"/>
              <w:right w:val="single" w:color="auto" w:sz="4" w:space="0"/>
              <w:tl2br w:val="nil"/>
              <w:tr2bl w:val="nil"/>
            </w:tcBorders>
            <w:noWrap w:val="0"/>
            <w:vAlign w:val="center"/>
          </w:tcPr>
          <w:p>
            <w:pPr>
              <w:spacing w:beforeLines="0" w:afterLines="0"/>
              <w:jc w:val="center"/>
              <w:rPr>
                <w:rFonts w:hint="eastAsia" w:ascii="仿宋" w:hAnsi="仿宋" w:eastAsia="仿宋" w:cs="Courier New"/>
                <w:sz w:val="28"/>
                <w:szCs w:val="24"/>
              </w:rPr>
            </w:pPr>
            <w:r>
              <w:rPr>
                <w:rFonts w:hint="eastAsia" w:ascii="仿宋" w:hAnsi="仿宋" w:eastAsia="仿宋" w:cs="Courier New"/>
                <w:sz w:val="28"/>
                <w:szCs w:val="24"/>
              </w:rPr>
              <w:t>鞋底金属检测仪</w:t>
            </w:r>
          </w:p>
        </w:tc>
        <w:tc>
          <w:tcPr>
            <w:tcW w:w="317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sz w:val="21"/>
                <w:szCs w:val="22"/>
              </w:rPr>
            </w:pPr>
            <w:r>
              <w:rPr>
                <w:rFonts w:hint="default"/>
                <w:sz w:val="21"/>
                <w:szCs w:val="22"/>
              </w:rPr>
              <w:drawing>
                <wp:inline distT="0" distB="0" distL="114300" distR="114300">
                  <wp:extent cx="1035050" cy="675640"/>
                  <wp:effectExtent l="0" t="0" r="1270" b="10160"/>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16"/>
                          <a:srcRect t="16513" b="18349"/>
                          <a:stretch>
                            <a:fillRect/>
                          </a:stretch>
                        </pic:blipFill>
                        <pic:spPr>
                          <a:xfrm rot="-10800000" flipV="1">
                            <a:off x="0" y="0"/>
                            <a:ext cx="1035050" cy="675640"/>
                          </a:xfrm>
                          <a:prstGeom prst="rect">
                            <a:avLst/>
                          </a:prstGeom>
                          <a:noFill/>
                          <a:ln>
                            <a:noFill/>
                          </a:ln>
                        </pic:spPr>
                      </pic:pic>
                    </a:graphicData>
                  </a:graphic>
                </wp:inline>
              </w:drawing>
            </w:r>
          </w:p>
        </w:tc>
      </w:tr>
    </w:tbl>
    <w:p>
      <w:pPr>
        <w:pStyle w:val="4"/>
        <w:widowControl/>
        <w:spacing w:beforeLines="0" w:afterLines="0" w:line="56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w:t>
      </w:r>
      <w:r>
        <w:rPr>
          <w:rFonts w:hint="eastAsia" w:ascii="仿宋_GB2312" w:hAnsi="仿宋_GB2312" w:eastAsia="仿宋_GB2312" w:cs="仿宋_GB2312"/>
          <w:kern w:val="2"/>
          <w:sz w:val="32"/>
          <w:szCs w:val="32"/>
          <w:lang w:bidi="ar-SA"/>
        </w:rPr>
        <w:t>投标样品上必须标注项目名称及项目编号、样品编号、样品名称等信息，但不得显示指向任何供应商的信息、制造商的商标，或者其他的标记标识。需要安装的投标样品必须为安装完整的成品，由供应商自行组织安装。</w:t>
      </w:r>
      <w:r>
        <w:rPr>
          <w:rFonts w:hint="eastAsia" w:ascii="仿宋_GB2312" w:hAnsi="仿宋_GB2312" w:eastAsia="仿宋_GB2312" w:cs="仿宋_GB2312"/>
          <w:sz w:val="32"/>
          <w:szCs w:val="32"/>
        </w:rPr>
        <w:t>样品要尽量与图片外观相符。</w:t>
      </w:r>
    </w:p>
    <w:p>
      <w:pPr>
        <w:adjustRightInd w:val="0"/>
        <w:snapToGrid w:val="0"/>
        <w:spacing w:beforeLines="0" w:afterLines="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样品收货联系方式：</w:t>
      </w:r>
    </w:p>
    <w:p>
      <w:pPr>
        <w:adjustRightInd w:val="0"/>
        <w:snapToGrid w:val="0"/>
        <w:spacing w:beforeLines="0" w:afterLines="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广东省深圳市罗湖区沿河北路2000号罗湖区人民法院503室</w:t>
      </w:r>
    </w:p>
    <w:p>
      <w:pPr>
        <w:adjustRightInd w:val="0"/>
        <w:snapToGrid w:val="0"/>
        <w:spacing w:beforeLines="0" w:afterLines="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钟警官25038215</w:t>
      </w:r>
    </w:p>
    <w:p>
      <w:pPr>
        <w:adjustRightInd w:val="0"/>
        <w:snapToGrid w:val="0"/>
        <w:spacing w:beforeLines="0" w:afterLines="0" w:line="560" w:lineRule="exact"/>
        <w:rPr>
          <w:rFonts w:hint="eastAsia" w:ascii="仿宋_GB2312" w:hAnsi="仿宋_GB2312" w:eastAsia="仿宋_GB2312" w:cs="仿宋_GB2312"/>
          <w:sz w:val="32"/>
          <w:szCs w:val="32"/>
        </w:rPr>
      </w:pPr>
    </w:p>
    <w:p>
      <w:pPr>
        <w:numPr>
          <w:ilvl w:val="0"/>
          <w:numId w:val="1"/>
        </w:numPr>
        <w:spacing w:beforeLines="0" w:afterLines="0" w:line="520" w:lineRule="exact"/>
        <w:jc w:val="left"/>
        <w:rPr>
          <w:rFonts w:hint="eastAsia" w:ascii="仿宋" w:hAnsi="仿宋" w:eastAsia="仿宋" w:cs="楷体_GB2312"/>
          <w:b/>
          <w:sz w:val="32"/>
          <w:szCs w:val="32"/>
        </w:rPr>
      </w:pPr>
      <w:r>
        <w:rPr>
          <w:rFonts w:hint="eastAsia" w:ascii="仿宋" w:hAnsi="仿宋" w:eastAsia="仿宋" w:cs="楷体_GB2312"/>
          <w:b/>
          <w:sz w:val="32"/>
          <w:szCs w:val="32"/>
        </w:rPr>
        <w:t>技术参数</w:t>
      </w:r>
    </w:p>
    <w:p>
      <w:pPr>
        <w:spacing w:beforeLines="0" w:afterLines="0" w:line="520" w:lineRule="exact"/>
        <w:jc w:val="left"/>
        <w:rPr>
          <w:rFonts w:hint="eastAsia" w:ascii="仿宋" w:hAnsi="仿宋" w:eastAsia="仿宋" w:cs="楷体_GB2312"/>
          <w:b/>
          <w:sz w:val="32"/>
          <w:szCs w:val="32"/>
        </w:rPr>
      </w:pPr>
    </w:p>
    <w:tbl>
      <w:tblPr>
        <w:tblStyle w:val="5"/>
        <w:tblW w:w="10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650"/>
        <w:gridCol w:w="900"/>
        <w:gridCol w:w="7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序号</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图片</w:t>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装备名称</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1</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943610" cy="601345"/>
                  <wp:effectExtent l="0" t="0" r="1270" b="8255"/>
                  <wp:docPr id="50" name="图片 3" descr="2020022019480001480539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descr="2020022019480001480539_medium"/>
                          <pic:cNvPicPr>
                            <a:picLocks noChangeAspect="1"/>
                          </pic:cNvPicPr>
                        </pic:nvPicPr>
                        <pic:blipFill>
                          <a:blip r:embed="rId5"/>
                          <a:srcRect t="18114" b="16667"/>
                          <a:stretch>
                            <a:fillRect/>
                          </a:stretch>
                        </pic:blipFill>
                        <pic:spPr>
                          <a:xfrm>
                            <a:off x="0" y="0"/>
                            <a:ext cx="943610" cy="601345"/>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ourier New"/>
                <w:sz w:val="28"/>
                <w:szCs w:val="24"/>
              </w:rPr>
            </w:pPr>
            <w:r>
              <w:rPr>
                <w:rFonts w:hint="eastAsia" w:ascii="仿宋" w:hAnsi="仿宋" w:eastAsia="仿宋" w:cs="CESI仿宋-GB2312"/>
                <w:sz w:val="28"/>
                <w:szCs w:val="24"/>
              </w:rPr>
              <w:t>强光手电</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1.执行标准：GA 883-2018《公安单警装备强光手电》；</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2.结构：采用前置开关，按钮区域分为照明键和爆闪键，外壳为防滚动圆柱形结构。由头盖组件（包括头盖、攻击头等）、筒身组件（包括筒身、隐藏式USB充电接口、开关部件、4格电量提示灯等）、电池、尾盖组件及手绳（包括调节扣）组成；</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3.尺寸：总长度154.6mm±2mm，握柄直径28.5mm±1mm，头盖外径35mm±1mm，手绳长度155mm±5mm；</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4.质量：强光手电总质量（含18650锂离子充电电池和手绳）小于或等于230g；</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5.强光初始光通量：使用18650锂离子充电电池，在完全充电状态下强光手电进人强光模式，初始光通量大于或等于160olm；</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6.强光照明时间：使用18650锂离子充电电池，在完全充电状态下强光手电进入强光模式，连续照明300min，距光源5m处光斑中心照度值大于或等于100lx；</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7.强光爆闪频率：强光爆闪频率为8Hz~10Hz。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61"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2</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905510" cy="652145"/>
                  <wp:effectExtent l="0" t="0" r="8890" b="3175"/>
                  <wp:docPr id="49" name="图片 1" descr="QQ截图2020080815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descr="QQ截图20200808152033"/>
                          <pic:cNvPicPr>
                            <a:picLocks noChangeAspect="1"/>
                          </pic:cNvPicPr>
                        </pic:nvPicPr>
                        <pic:blipFill>
                          <a:blip r:embed="rId6"/>
                          <a:stretch>
                            <a:fillRect/>
                          </a:stretch>
                        </pic:blipFill>
                        <pic:spPr>
                          <a:xfrm>
                            <a:off x="0" y="0"/>
                            <a:ext cx="905510" cy="652145"/>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警用多功能腰带</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top"/>
          </w:tcPr>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1.组成：腰带钎子，带体，斜挂带，对讲机套，强光手电套，警用工作包，快拔警棍套，手铐套，催泪喷射器套；</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2.扣头：采用金属扣头以及内高强度塑料扣双保险；</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3.材质：牛津布；</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4.原材料要求：</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▲耐磨次数：≥200000次（须在检测报告中体现）</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▲拉伸强力径向：≥1600N、维向≥1400N（须在检测报告中体现）</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单位面积织物质量：≥230g/㎡</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防水性达到沾水评级：4-5级以上</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▲缝纫线单线强力：3.3*10</w:t>
            </w:r>
            <w:r>
              <w:rPr>
                <w:rFonts w:hint="eastAsia" w:ascii="仿宋" w:hAnsi="仿宋" w:eastAsia="仿宋" w:cs="宋体"/>
                <w:color w:val="000000"/>
                <w:kern w:val="0"/>
                <w:sz w:val="28"/>
                <w:szCs w:val="24"/>
                <w:vertAlign w:val="superscript"/>
              </w:rPr>
              <w:t>3</w:t>
            </w:r>
            <w:r>
              <w:rPr>
                <w:rFonts w:hint="eastAsia" w:ascii="仿宋" w:hAnsi="仿宋" w:eastAsia="仿宋" w:cs="宋体"/>
                <w:color w:val="000000"/>
                <w:kern w:val="0"/>
                <w:sz w:val="28"/>
                <w:szCs w:val="24"/>
              </w:rPr>
              <w:t>cN（须在检测报告中体现）</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▲粘扣带剪切强度：≥7.0N/㎡（须在检测报告中体现）</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▲粘扣带剥离强度：≥1.3N/cm（须在检测报告中体现）</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▲松紧带拉伸拉伸弹性回复率：≥80（须在检测报告中体现）</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▲5.提供经公安部权威检测机构出具的检测报告以及相关原材料检测报告的复印件并加盖厂家公章；</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6.换成快拔枪套、需要钥匙扣。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3</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1085850" cy="3152775"/>
                  <wp:effectExtent l="0" t="0" r="11430" b="1905"/>
                  <wp:docPr id="36" name="图片 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descr="未命名"/>
                          <pic:cNvPicPr>
                            <a:picLocks noChangeAspect="1"/>
                          </pic:cNvPicPr>
                        </pic:nvPicPr>
                        <pic:blipFill>
                          <a:blip r:embed="rId7"/>
                          <a:stretch>
                            <a:fillRect/>
                          </a:stretch>
                        </pic:blipFill>
                        <pic:spPr>
                          <a:xfrm>
                            <a:off x="0" y="0"/>
                            <a:ext cx="1085850" cy="3152775"/>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手持金属探测器</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功能介绍：</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1.数字化设计、抗干扰能力强量显示；</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2.性能稳定一致性好、无需周期性校正；</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3.灵敏度高(四种等级可选)模式等进行编程设置；</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4手柄采用舒适防滑设计；</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5.简单、易用、便捷；</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6.超长工作时间和待机时间，节能环保；</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7.节能环保，自动休眠；</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8.具有先进编程能力。GVS-600金属探测器该产品为超高灵敏度手持式金属探测器，可根据需求对灵敏度、声光提示、节能进行调节；</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9.操作员可通过声光提示判断被检测物体金属量大小程度探测器，是一款高性能专为安防设计的金属探测器；</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color w:val="000000"/>
                <w:kern w:val="0"/>
                <w:sz w:val="28"/>
                <w:szCs w:val="24"/>
              </w:rPr>
              <w:t>▲</w:t>
            </w:r>
            <w:r>
              <w:rPr>
                <w:rFonts w:hint="eastAsia" w:ascii="仿宋" w:hAnsi="仿宋" w:eastAsia="仿宋" w:cs="宋体"/>
                <w:sz w:val="28"/>
                <w:szCs w:val="24"/>
              </w:rPr>
              <w:t>10.灵敏度档位：低灵敏度，正常灵敏度，高灵敏度和超高灵敏度。该产品采用数字化电路设计，性度(可探测单根12#订书针)能一直稳定，抗干扰能力强，无需校准操作。</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color w:val="000000"/>
                <w:kern w:val="0"/>
                <w:sz w:val="28"/>
                <w:szCs w:val="24"/>
              </w:rPr>
              <w:t>▲</w:t>
            </w:r>
            <w:r>
              <w:rPr>
                <w:rFonts w:hint="eastAsia" w:ascii="仿宋" w:hAnsi="仿宋" w:eastAsia="仿宋" w:cs="宋体"/>
                <w:sz w:val="28"/>
                <w:szCs w:val="24"/>
              </w:rPr>
              <w:t>11.报警模式：振动、声音、振动与声音3种报警模式，操测线圈的特殊设计，更先进的声、光、振动报警等可作员可通过声光提示判断被检测物体金属量大小程度编程技术，使其灵敏度更高、报警更准确、更节能省电；</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12.电源：2节5号电池工作时间更长；</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13.可连续使用时间100小时以上；</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14.节能环保：自动休眠、关机，2分钟不使用自动休眠，流线设计，使用方便、抗击能力强，10分钟不使用自动关机；休眠状态下按任意键或者靠近检查非法物品，再拿开自动唤醒；</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15.充电：电池配直充、座充两种充电方式，有充电、低电；16.工作温度：-25°C~+60°C(湿度:0~95%)；</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17.规格尺寸：360mm(长)x 82mm(宽)x34mm(高)；</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18.重量：0.25kg；</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19.材质：耐震，耐冲击ABS塑料。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17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4</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1690370" cy="1153795"/>
                  <wp:effectExtent l="0" t="0" r="1270" b="4445"/>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8"/>
                          <a:srcRect t="18309" b="42088"/>
                          <a:stretch>
                            <a:fillRect/>
                          </a:stretch>
                        </pic:blipFill>
                        <pic:spPr>
                          <a:xfrm>
                            <a:off x="0" y="0"/>
                            <a:ext cx="1690370" cy="1153795"/>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一次性警戒带</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一次性，PE新料。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5</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918210" cy="1122045"/>
                  <wp:effectExtent l="0" t="0" r="11430" b="5715"/>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9"/>
                          <a:stretch>
                            <a:fillRect/>
                          </a:stretch>
                        </pic:blipFill>
                        <pic:spPr>
                          <a:xfrm>
                            <a:off x="0" y="0"/>
                            <a:ext cx="918210" cy="1122045"/>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防毒面具</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1.防护时间：同选定过源件(2级、3级)的性能，见过滤件性能用途一览表; </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2.呼气阀阻力：&lt;43Pa;  吸气阻力：＜22；</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3.视野：总视野：&gt;75%; 双目视野：&gt;55%; 下方视野：&gt;35%; </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4.面罩泄漏率：≤0.05%;</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5.镜片透光率：≥89%；</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6.阻燃性：续燃时间0s；</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7.死腔：≤1%；</w:t>
            </w:r>
          </w:p>
          <w:p>
            <w:pPr>
              <w:adjustRightInd w:val="0"/>
              <w:snapToGrid w:val="0"/>
              <w:spacing w:beforeLines="0" w:afterLines="0"/>
              <w:jc w:val="left"/>
              <w:rPr>
                <w:rFonts w:hint="eastAsia" w:ascii="仿宋" w:hAnsi="仿宋" w:eastAsia="仿宋" w:cs="宋体"/>
                <w:sz w:val="28"/>
                <w:szCs w:val="24"/>
              </w:rPr>
            </w:pPr>
            <w:r>
              <w:rPr>
                <w:rFonts w:hint="eastAsia" w:ascii="仿宋" w:hAnsi="仿宋" w:eastAsia="仿宋" w:cs="宋体"/>
                <w:sz w:val="28"/>
                <w:szCs w:val="24"/>
              </w:rPr>
              <w:t>8.贮存期：面具滤毒罐在规定条件下，贮存期为5年。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5854"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6</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722630" cy="660400"/>
                  <wp:effectExtent l="0" t="0" r="8890" b="10160"/>
                  <wp:docPr id="40" name="图片 11" descr="C:/Users/DELL/AppData/Local/Temp/kaimatting/20201221100920/output_aiMatting_20201221100928.pngoutput_aiMatting_2020122110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descr="C:/Users/DELL/AppData/Local/Temp/kaimatting/20201221100920/output_aiMatting_20201221100928.pngoutput_aiMatting_20201221100928"/>
                          <pic:cNvPicPr>
                            <a:picLocks noChangeAspect="1"/>
                          </pic:cNvPicPr>
                        </pic:nvPicPr>
                        <pic:blipFill>
                          <a:blip r:embed="rId10"/>
                          <a:stretch>
                            <a:fillRect/>
                          </a:stretch>
                        </pic:blipFill>
                        <pic:spPr>
                          <a:xfrm>
                            <a:off x="0" y="0"/>
                            <a:ext cx="722630" cy="66040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警用喊话器</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1.功能：扩音、录音、警音、照明、MP3、多媒体USB插口；</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2.供电方式：使用干电池（或锂电池）供电；</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3.尺寸：约132mm*202mm；</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4.产品重量：不大于650g（不含干电池）；</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5.工作电压：12V；</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6.充电时间：4小时内充满电；</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7.充电器：DC 10V/500Ma；</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8.录音时间：不小于240秒；</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▲9.电池使用时间：可连续使用不低于20.5小时（喊话）；</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10.正常工作条件下发热测试：保护装置不工作，正常工作1小时，外壳温升大不大于27K；</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11.故障测试：喊话器样品短路情况下，声音变小，5min后，外壳温升大不大于38K；</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12.耐高温性能：40℃±2℃，2h后，功能正常；</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13.耐低温性能：-20℃±2℃，2h后，功能正常。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7</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876300" cy="656590"/>
                  <wp:effectExtent l="0" t="0" r="7620" b="13970"/>
                  <wp:docPr id="41" name="图片 2" descr="C:\Users\yqwlx\AppData\Local\Temp\WeChat Files\3362014ec5c9a1438637ee3cea943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descr="C:\Users\yqwlx\AppData\Local\Temp\WeChat Files\3362014ec5c9a1438637ee3cea943f2.jpg"/>
                          <pic:cNvPicPr>
                            <a:picLocks noChangeAspect="1"/>
                          </pic:cNvPicPr>
                        </pic:nvPicPr>
                        <pic:blipFill>
                          <a:blip r:embed="rId11"/>
                          <a:stretch>
                            <a:fillRect/>
                          </a:stretch>
                        </pic:blipFill>
                        <pic:spPr>
                          <a:xfrm>
                            <a:off x="0" y="0"/>
                            <a:ext cx="876300" cy="65659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伞式折叠围挡</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1.2米*2米；</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 xml:space="preserve">2.主杆38圆，管壁1.2；      </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3.伞股16圆，管壁1.0；</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4.伞布：240克涤纶布，PA涂层，防泼水涂层；</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5.色牢度：欧标4级；</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6.包装尺寸160*13*13厘米，伞面尺寸为2米*2米；</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7.配件：铝合金支架（型号：6061铝合金）；</w:t>
            </w:r>
          </w:p>
          <w:p>
            <w:p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8.重量：4.2公斤。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8</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default"/>
                <w:sz w:val="21"/>
                <w:szCs w:val="22"/>
              </w:rPr>
            </w:pPr>
          </w:p>
          <w:p>
            <w:pPr>
              <w:adjustRightInd w:val="0"/>
              <w:snapToGrid w:val="0"/>
              <w:spacing w:beforeLines="0" w:afterLines="0"/>
              <w:jc w:val="center"/>
              <w:rPr>
                <w:rFonts w:hint="default"/>
                <w:sz w:val="21"/>
                <w:szCs w:val="22"/>
              </w:rPr>
            </w:pPr>
          </w:p>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913765" cy="744220"/>
                  <wp:effectExtent l="0" t="0" r="635" b="2540"/>
                  <wp:docPr id="4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9"/>
                          <pic:cNvPicPr>
                            <a:picLocks noChangeAspect="1"/>
                          </pic:cNvPicPr>
                        </pic:nvPicPr>
                        <pic:blipFill>
                          <a:blip r:embed="rId12"/>
                          <a:srcRect t="15993" b="14268"/>
                          <a:stretch>
                            <a:fillRect/>
                          </a:stretch>
                        </pic:blipFill>
                        <pic:spPr>
                          <a:xfrm>
                            <a:off x="0" y="0"/>
                            <a:ext cx="913765" cy="74422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酒精测试仪</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传感器类型：半导体传感器；</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量程范围：0-400mg/100mlBAC；</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灵敏度/分辨率：5mg/100ml.1mg/100ml；</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示值误差：5cm距离浓度为50mg/100ml时误差不超过10mg/100ml；</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采样方式：吹气感应或手动检测；</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连续测量时间：5-15秒；</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出值时间：3秒；</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归零时间：5-15秒；</w:t>
            </w:r>
          </w:p>
          <w:p>
            <w:pPr>
              <w:widowControl/>
              <w:numPr>
                <w:ilvl w:val="0"/>
                <w:numId w:val="2"/>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工作温度：-5到45度；</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10.数据存储：30000条；</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11.操作方式：4按键，关机状态可独立操作警示灯及照明灯；</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12.辅助功能：LED高亮白光照明、高分贝哨音、红蓝警示灯、语音播报；</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13.显示器尺寸参数：1.44寸128*128全彩TFT液晶显示屏；</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14.供电：18650-3000mAh锂电池；</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15.充电接口：TYPE-CUSB；</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16.充电电压：5V/1A；</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17.主机尺寸：310mm40.5mm40.4mm；</w:t>
            </w:r>
          </w:p>
          <w:p>
            <w:pPr>
              <w:widowControl/>
              <w:numPr>
                <w:ilvl w:val="0"/>
                <w:numId w:val="0"/>
              </w:numPr>
              <w:adjustRightInd w:val="0"/>
              <w:snapToGrid w:val="0"/>
              <w:spacing w:beforeLines="0" w:afterLines="0"/>
              <w:jc w:val="left"/>
              <w:rPr>
                <w:rFonts w:hint="eastAsia" w:ascii="仿宋" w:hAnsi="仿宋" w:eastAsia="仿宋" w:cs="宋体"/>
                <w:color w:val="000000"/>
                <w:kern w:val="0"/>
                <w:sz w:val="28"/>
                <w:szCs w:val="24"/>
              </w:rPr>
            </w:pPr>
            <w:r>
              <w:rPr>
                <w:rFonts w:hint="eastAsia" w:ascii="仿宋" w:hAnsi="仿宋" w:eastAsia="仿宋" w:cs="宋体"/>
                <w:color w:val="000000"/>
                <w:kern w:val="0"/>
                <w:sz w:val="28"/>
                <w:szCs w:val="24"/>
              </w:rPr>
              <w:t>18重量：约172g。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9</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default"/>
                <w:sz w:val="21"/>
                <w:szCs w:val="22"/>
              </w:rPr>
              <w:drawing>
                <wp:inline distT="0" distB="0" distL="114300" distR="114300">
                  <wp:extent cx="964565" cy="1217930"/>
                  <wp:effectExtent l="0" t="0" r="10795" b="127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13"/>
                          <a:stretch>
                            <a:fillRect/>
                          </a:stretch>
                        </pic:blipFill>
                        <pic:spPr>
                          <a:xfrm>
                            <a:off x="0" y="0"/>
                            <a:ext cx="964565" cy="121793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多功能战术背心</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1.POLICE标识、高亮反光条，多组合装具套，可内置防护内胆；</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2.版型规格：均码设计；</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3.肩部设计：肩部加宽设计，可分散压力，久穿不累；</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4.腰部设计：腰部可调节，调节范围90-120cm；</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5.结构功能：自带一键快拆功能；</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6.整体重量：背心主体重量约1.3kg；</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7.防护面积：防刺面积不低于0.25平方米；</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8.主体材质：超纤皮革；</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9.辅助材质：尼龙粘扣、丙纶织带；</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10.特殊材质配置：耐寒耐热高识别反光条、高强度耐磨重体网；</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11.储物设计：前胸、后背下方设有储物袋，可收纳证件；</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12.防护结构：内部设有拉链式芯片仓，防护无死角；</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13.扩展系统：全身采用MOLLE系统装载平台，模块化设计，可任意装载多种挂件；</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14.穿着体验：穿脱方便，同时兼具透气、散热性能；</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15.配套挂件包：配备4个反光挂件包、甩棍包、催泪包、快拔、警棍专用位；</w:t>
            </w:r>
          </w:p>
          <w:p>
            <w:pPr>
              <w:numPr>
                <w:ilvl w:val="0"/>
                <w:numId w:val="0"/>
              </w:num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16.可选颜色：黑色、荧光黄。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10</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default"/>
                <w:sz w:val="21"/>
                <w:szCs w:val="22"/>
              </w:rPr>
            </w:pPr>
          </w:p>
          <w:p>
            <w:pPr>
              <w:adjustRightInd w:val="0"/>
              <w:snapToGrid w:val="0"/>
              <w:spacing w:beforeLines="0" w:afterLines="0"/>
              <w:jc w:val="center"/>
              <w:rPr>
                <w:rFonts w:hint="default"/>
                <w:sz w:val="21"/>
                <w:szCs w:val="22"/>
              </w:rPr>
            </w:pPr>
            <w:r>
              <w:rPr>
                <w:rFonts w:hint="default"/>
                <w:sz w:val="21"/>
                <w:szCs w:val="22"/>
              </w:rPr>
              <w:drawing>
                <wp:inline distT="0" distB="0" distL="114300" distR="114300">
                  <wp:extent cx="972820" cy="679450"/>
                  <wp:effectExtent l="0" t="0" r="2540" b="6350"/>
                  <wp:docPr id="44" name="图片 21" descr="白底宽_副本_副本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1" descr="白底宽_副本_副本 (1)"/>
                          <pic:cNvPicPr>
                            <a:picLocks noChangeAspect="1"/>
                          </pic:cNvPicPr>
                        </pic:nvPicPr>
                        <pic:blipFill>
                          <a:blip r:embed="rId14"/>
                          <a:srcRect t="19182" b="12404"/>
                          <a:stretch>
                            <a:fillRect/>
                          </a:stretch>
                        </pic:blipFill>
                        <pic:spPr>
                          <a:xfrm>
                            <a:off x="0" y="0"/>
                            <a:ext cx="972820" cy="67945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金属手铐</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1.目的作用：束缚犯罪嫌疑人双手；</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2.主要功能：用于公安民警日常执勤执法时暂时约束犯罪嫌疑人手腕的环形板式械具；</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3.主要技术指标：公安单警装备金属手铐由左、右铐体和三排齿的扇梁、链座、链环、钥匙等组成，铐体表面颜色为铄金色，左、右铐体颜色一致，扇梁为哑光银色。铐体与隔板采用6061-T6铝合金制作，扇梁采用2Cr13不锈钢制作。金属手铐的质量（不含钥匙和包装）小于或等于255g。产品应符合GA 1512-2018《公安单警装备 金属手铐》标准的要求，且具有国家权威检验机构出具的产品合格检验报告。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11</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default"/>
                <w:sz w:val="21"/>
                <w:szCs w:val="22"/>
              </w:rPr>
            </w:pPr>
            <w:r>
              <w:rPr>
                <w:rFonts w:hint="default"/>
                <w:sz w:val="21"/>
                <w:szCs w:val="22"/>
              </w:rPr>
              <w:drawing>
                <wp:inline distT="0" distB="0" distL="114300" distR="114300">
                  <wp:extent cx="868045" cy="731520"/>
                  <wp:effectExtent l="0" t="0" r="635" b="0"/>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15"/>
                          <a:stretch>
                            <a:fillRect/>
                          </a:stretch>
                        </pic:blipFill>
                        <pic:spPr>
                          <a:xfrm>
                            <a:off x="0" y="0"/>
                            <a:ext cx="868045" cy="73152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警绳</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1.结构：警绳由警绳袋和警绳组成；</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2.颜色：黑色；</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3.质量：约 85g；</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4.尺寸：长度为5m，直径不低于φ8.2mm；</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5.抗拉强力：对警绳以 500mm/min 的速率施加轴向拉力至 2500N（夹持点间警绳长度为 500mm），保持 60S，试验后，警绳不出现断裂现象；</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6.耐水性：常温下，警绳浸入 0.5m 深水中，静置 24h，警绳在 1000N 拉力作用下，不出现断裂现象；</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7.耐酸汗渍色牢度：变色不低于 4 级，沾色不低于 4 级；</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8.耐碱汗渍色牢度：变色不低于 4 级，沾色不低于 4 级；</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9.耐水色牢度：变色不低于 5 级，沾色不低于 4 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12</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default"/>
                <w:sz w:val="21"/>
                <w:szCs w:val="22"/>
              </w:rPr>
            </w:pPr>
          </w:p>
          <w:p>
            <w:pPr>
              <w:adjustRightInd w:val="0"/>
              <w:snapToGrid w:val="0"/>
              <w:spacing w:beforeLines="0" w:afterLines="0"/>
              <w:jc w:val="center"/>
              <w:rPr>
                <w:rFonts w:hint="default"/>
                <w:sz w:val="21"/>
                <w:szCs w:val="22"/>
              </w:rPr>
            </w:pPr>
            <w:r>
              <w:rPr>
                <w:rFonts w:hint="default"/>
                <w:sz w:val="21"/>
                <w:szCs w:val="22"/>
              </w:rPr>
              <w:drawing>
                <wp:inline distT="0" distB="0" distL="114300" distR="114300">
                  <wp:extent cx="1035050" cy="675640"/>
                  <wp:effectExtent l="0" t="0" r="1270" b="10160"/>
                  <wp:docPr id="4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
                          <pic:cNvPicPr>
                            <a:picLocks noChangeAspect="1"/>
                          </pic:cNvPicPr>
                        </pic:nvPicPr>
                        <pic:blipFill>
                          <a:blip r:embed="rId16"/>
                          <a:srcRect t="16513" b="18349"/>
                          <a:stretch>
                            <a:fillRect/>
                          </a:stretch>
                        </pic:blipFill>
                        <pic:spPr>
                          <a:xfrm rot="-10800000" flipV="1">
                            <a:off x="0" y="0"/>
                            <a:ext cx="1035050" cy="67564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鞋底金属探测仪</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1.外观尺寸：约长436*宽416*高63mm；</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2.重量：4KG；</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3.工作电压：DC12V；</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4.功耗：＜5W；</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5.工作频率范围：多个频段；</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6.工作环境温度：-20℃～65℃。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0" w:hRule="atLeast"/>
          <w:jc w:val="center"/>
        </w:trPr>
        <w:tc>
          <w:tcPr>
            <w:tcW w:w="57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13</w:t>
            </w:r>
          </w:p>
        </w:tc>
        <w:tc>
          <w:tcPr>
            <w:tcW w:w="165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default"/>
                <w:sz w:val="21"/>
                <w:szCs w:val="22"/>
              </w:rPr>
            </w:pPr>
            <w:r>
              <w:rPr>
                <w:rFonts w:hint="default"/>
                <w:sz w:val="21"/>
                <w:szCs w:val="22"/>
              </w:rPr>
              <w:drawing>
                <wp:inline distT="0" distB="0" distL="114300" distR="114300">
                  <wp:extent cx="789305" cy="976630"/>
                  <wp:effectExtent l="0" t="0" r="3175" b="13970"/>
                  <wp:docPr id="4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7"/>
                          <pic:cNvPicPr>
                            <a:picLocks noChangeAspect="1"/>
                          </pic:cNvPicPr>
                        </pic:nvPicPr>
                        <pic:blipFill>
                          <a:blip r:embed="rId17"/>
                          <a:stretch>
                            <a:fillRect/>
                          </a:stretch>
                        </pic:blipFill>
                        <pic:spPr>
                          <a:xfrm>
                            <a:off x="0" y="0"/>
                            <a:ext cx="789305" cy="976630"/>
                          </a:xfrm>
                          <a:prstGeom prst="rect">
                            <a:avLst/>
                          </a:prstGeom>
                          <a:noFill/>
                          <a:ln>
                            <a:noFill/>
                          </a:ln>
                        </pic:spPr>
                      </pic:pic>
                    </a:graphicData>
                  </a:graphic>
                </wp:inline>
              </w:drawing>
            </w:r>
          </w:p>
        </w:tc>
        <w:tc>
          <w:tcPr>
            <w:tcW w:w="900"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center"/>
              <w:rPr>
                <w:rFonts w:hint="eastAsia" w:ascii="仿宋" w:hAnsi="仿宋" w:eastAsia="仿宋" w:cs="CESI仿宋-GB2312"/>
                <w:sz w:val="28"/>
                <w:szCs w:val="24"/>
              </w:rPr>
            </w:pPr>
            <w:r>
              <w:rPr>
                <w:rFonts w:hint="eastAsia" w:ascii="仿宋" w:hAnsi="仿宋" w:eastAsia="仿宋" w:cs="CESI仿宋-GB2312"/>
                <w:sz w:val="28"/>
                <w:szCs w:val="24"/>
              </w:rPr>
              <w:t>防爆桶</w:t>
            </w:r>
          </w:p>
        </w:tc>
        <w:tc>
          <w:tcPr>
            <w:tcW w:w="7217" w:type="dxa"/>
            <w:tcBorders>
              <w:top w:val="single" w:color="auto" w:sz="4" w:space="0"/>
              <w:left w:val="single" w:color="auto" w:sz="4" w:space="0"/>
              <w:bottom w:val="single" w:color="auto" w:sz="4" w:space="0"/>
              <w:right w:val="single" w:color="auto" w:sz="4" w:space="0"/>
              <w:tl2br w:val="nil"/>
              <w:tr2bl w:val="nil"/>
            </w:tcBorders>
            <w:noWrap w:val="0"/>
            <w:vAlign w:val="center"/>
          </w:tcPr>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1.双层防爆罐由内罐、外罐和吸能缓冲层组合而成；</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2.排爆性能优越，排爆罐内有稳定放置网袋，外罐体底部带有4个万向轮;</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3.符合《GA 871-2010防爆罐》中TNT爆炸当量为1.5kg固定式防爆罐要求；</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4.材质：10mm厚钢板+加强筋+高性能聚乙烯布吸能层+10mm厚钢板+1.0mm厚不锈钢板；</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5.尺寸：内罐体内径≥450mm、深≥570mm，外罐体外径≥560mm、高≥720mm；</w:t>
            </w:r>
          </w:p>
          <w:p>
            <w:pPr>
              <w:adjustRightInd w:val="0"/>
              <w:snapToGrid w:val="0"/>
              <w:spacing w:beforeLines="0" w:afterLines="0"/>
              <w:jc w:val="left"/>
              <w:rPr>
                <w:rFonts w:hint="eastAsia" w:ascii="仿宋" w:hAnsi="仿宋" w:eastAsia="仿宋" w:cs="宋体"/>
                <w:color w:val="000000"/>
                <w:sz w:val="28"/>
                <w:szCs w:val="24"/>
              </w:rPr>
            </w:pPr>
            <w:r>
              <w:rPr>
                <w:rFonts w:hint="eastAsia" w:ascii="仿宋" w:hAnsi="仿宋" w:eastAsia="仿宋" w:cs="宋体"/>
                <w:color w:val="000000"/>
                <w:sz w:val="28"/>
                <w:szCs w:val="24"/>
              </w:rPr>
              <w:t>6.总重量约230kg。</w:t>
            </w:r>
          </w:p>
        </w:tc>
      </w:tr>
    </w:tbl>
    <w:p>
      <w:pPr>
        <w:spacing w:beforeLines="0" w:afterLines="0" w:line="480" w:lineRule="exact"/>
        <w:ind w:firstLine="640" w:firstLineChars="200"/>
        <w:jc w:val="left"/>
        <w:rPr>
          <w:rFonts w:hint="eastAsia" w:ascii="仿宋" w:hAnsi="仿宋" w:eastAsia="仿宋"/>
          <w:b/>
          <w:kern w:val="0"/>
          <w:sz w:val="32"/>
          <w:szCs w:val="32"/>
        </w:rPr>
      </w:pPr>
      <w:r>
        <w:rPr>
          <w:rFonts w:hint="eastAsia" w:ascii="仿宋" w:hAnsi="仿宋" w:eastAsia="仿宋"/>
          <w:kern w:val="0"/>
          <w:sz w:val="32"/>
          <w:szCs w:val="32"/>
        </w:rPr>
        <w:t>说明：标注“▲”号技术条款为重要技术参数和配置，是技术性能指标的主要评分因素。其它参数根据供应商的实际情况进行响应，欢迎供应商提供更优方案。</w:t>
      </w:r>
    </w:p>
    <w:p>
      <w:pPr>
        <w:spacing w:beforeLines="0" w:afterLines="0" w:line="480" w:lineRule="exact"/>
        <w:jc w:val="left"/>
        <w:rPr>
          <w:rFonts w:hint="eastAsia" w:ascii="仿宋" w:hAnsi="仿宋" w:eastAsia="仿宋"/>
          <w:b/>
          <w:kern w:val="0"/>
          <w:sz w:val="32"/>
          <w:szCs w:val="32"/>
        </w:rPr>
      </w:pPr>
      <w:r>
        <w:rPr>
          <w:rFonts w:hint="eastAsia" w:ascii="仿宋" w:hAnsi="仿宋" w:eastAsia="仿宋"/>
          <w:b/>
          <w:kern w:val="0"/>
          <w:sz w:val="32"/>
          <w:szCs w:val="32"/>
        </w:rPr>
        <w:t>四、服务要求</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1.保修期。</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sz w:val="32"/>
          <w:szCs w:val="32"/>
        </w:rPr>
        <w:t>警用装备除人为因素损坏外免费保修时间</w:t>
      </w:r>
      <w:r>
        <w:rPr>
          <w:rFonts w:hint="eastAsia" w:ascii="仿宋" w:hAnsi="仿宋" w:eastAsia="仿宋"/>
          <w:sz w:val="32"/>
          <w:szCs w:val="24"/>
        </w:rPr>
        <w:t>3</w:t>
      </w:r>
      <w:r>
        <w:rPr>
          <w:rFonts w:hint="eastAsia" w:ascii="仿宋" w:hAnsi="仿宋" w:eastAsia="仿宋"/>
          <w:sz w:val="32"/>
          <w:szCs w:val="32"/>
        </w:rPr>
        <w:t>年</w:t>
      </w:r>
      <w:r>
        <w:rPr>
          <w:rFonts w:hint="eastAsia" w:ascii="仿宋" w:hAnsi="仿宋" w:eastAsia="仿宋"/>
          <w:kern w:val="0"/>
          <w:sz w:val="32"/>
          <w:szCs w:val="32"/>
        </w:rPr>
        <w:t>，时间自项目整体验收合格并交付使用之日起计算。</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2.维修响应及故障解决时间。</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在保修期内，一旦发生质量问题，供应商保证在接到通知两小时内赶到现场进行修理或更换。</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3.关于交货。</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3.1交货期：签订合同后20个工作日内完成交货，交付采购人验收。</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3.2供应商承担货物运输、验收检测的义务。</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4.关于验收。</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4.1供应商货物经过双方检验认可后，签署验收报告，由供应商提供产品保修文件。</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4.2当满足以下条件时，采购人才向供应商签发货物验收报告：</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a.供应商已按照合同规定提供了全部产品及完整的技术资料。</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b.货物符合招标文件技术规格书的要求，性能满足要求。</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c.货物具备产品合格证。</w:t>
      </w:r>
    </w:p>
    <w:p>
      <w:pPr>
        <w:spacing w:beforeLines="0" w:afterLines="0" w:line="480" w:lineRule="exact"/>
        <w:ind w:firstLine="640" w:firstLineChars="200"/>
        <w:jc w:val="left"/>
        <w:rPr>
          <w:rFonts w:hint="eastAsia" w:ascii="仿宋" w:hAnsi="仿宋" w:eastAsia="仿宋"/>
          <w:sz w:val="32"/>
          <w:szCs w:val="32"/>
        </w:rPr>
      </w:pPr>
      <w:r>
        <w:rPr>
          <w:rFonts w:hint="eastAsia" w:ascii="仿宋" w:hAnsi="仿宋" w:eastAsia="仿宋"/>
          <w:sz w:val="32"/>
          <w:szCs w:val="32"/>
        </w:rPr>
        <w:t>5.费用支付。</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货物经采购人验收合格后，供应商开具并提交符合国家规定的发票；采购人于收到发票后的10个工作日内支付合同款。</w:t>
      </w:r>
    </w:p>
    <w:p>
      <w:pPr>
        <w:spacing w:beforeLines="0" w:afterLines="0" w:line="480" w:lineRule="exact"/>
        <w:ind w:firstLine="642" w:firstLineChars="200"/>
        <w:jc w:val="left"/>
        <w:rPr>
          <w:rFonts w:hint="eastAsia" w:ascii="仿宋" w:hAnsi="仿宋" w:eastAsia="仿宋"/>
          <w:b/>
          <w:kern w:val="0"/>
          <w:sz w:val="32"/>
          <w:szCs w:val="32"/>
        </w:rPr>
      </w:pPr>
      <w:r>
        <w:rPr>
          <w:rFonts w:hint="eastAsia" w:ascii="仿宋" w:hAnsi="仿宋" w:eastAsia="仿宋"/>
          <w:b/>
          <w:kern w:val="0"/>
          <w:sz w:val="32"/>
          <w:szCs w:val="32"/>
        </w:rPr>
        <w:t>五、违约责任</w:t>
      </w:r>
    </w:p>
    <w:p>
      <w:pPr>
        <w:spacing w:beforeLines="0" w:afterLines="0" w:line="480" w:lineRule="exact"/>
        <w:ind w:firstLine="640" w:firstLineChars="200"/>
        <w:jc w:val="left"/>
        <w:rPr>
          <w:rFonts w:hint="eastAsia" w:ascii="仿宋" w:hAnsi="仿宋" w:eastAsia="仿宋"/>
          <w:kern w:val="0"/>
          <w:sz w:val="32"/>
          <w:szCs w:val="32"/>
        </w:rPr>
      </w:pPr>
      <w:r>
        <w:rPr>
          <w:rFonts w:hint="eastAsia" w:ascii="仿宋" w:hAnsi="仿宋" w:eastAsia="仿宋"/>
          <w:kern w:val="0"/>
          <w:sz w:val="32"/>
          <w:szCs w:val="32"/>
        </w:rPr>
        <w:t>1、任何一方未按约定履行义务给对方造成直接损失的，应当承担赔偿责任。</w:t>
      </w:r>
    </w:p>
    <w:p>
      <w:pPr>
        <w:spacing w:beforeLines="0" w:afterLines="0" w:line="480" w:lineRule="exact"/>
        <w:ind w:firstLine="640" w:firstLineChars="200"/>
        <w:jc w:val="left"/>
      </w:pPr>
      <w:r>
        <w:rPr>
          <w:rFonts w:hint="eastAsia" w:ascii="仿宋" w:hAnsi="仿宋" w:eastAsia="仿宋"/>
          <w:kern w:val="0"/>
          <w:sz w:val="32"/>
          <w:szCs w:val="32"/>
        </w:rPr>
        <w:t>2、任何一方无法继续履行合同的，应当及时通知另一方，并由责任方承担因合同解除而造成的损失。</w:t>
      </w:r>
    </w:p>
    <w:sectPr>
      <w:pgSz w:w="12240" w:h="15840"/>
      <w:pgMar w:top="1298" w:right="1298" w:bottom="1298" w:left="1298"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A0000287" w:usb1="28C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panose1 w:val="02010609060101010101"/>
    <w:charset w:val="86"/>
    <w:family w:val="auto"/>
    <w:pitch w:val="default"/>
    <w:sig w:usb0="800002BF" w:usb1="38CF7CFA" w:usb2="00000016" w:usb3="00000000" w:csb0="00040001" w:csb1="00000000"/>
  </w:font>
  <w:font w:name="Courier New">
    <w:altName w:val="DejaVu Sans"/>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AABC9"/>
    <w:multiLevelType w:val="multilevel"/>
    <w:tmpl w:val="E95AABC9"/>
    <w:lvl w:ilvl="0" w:tentative="0">
      <w:start w:val="1"/>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3774B65E"/>
    <w:multiLevelType w:val="multilevel"/>
    <w:tmpl w:val="3774B65E"/>
    <w:lvl w:ilvl="0" w:tentative="0">
      <w:start w:val="1"/>
      <w:numFmt w:val="decimal"/>
      <w:lvlText w:val="%1."/>
      <w:lvlJc w:val="left"/>
      <w:pPr>
        <w:tabs>
          <w:tab w:val="left" w:pos="312"/>
        </w:tabs>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A1947CF"/>
    <w:rsid w:val="B7FF5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beforeLines="0" w:afterLines="0"/>
      <w:jc w:val="left"/>
    </w:pPr>
    <w:rPr>
      <w:rFonts w:hint="default"/>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spacing w:beforeLines="0" w:afterLines="0"/>
      <w:jc w:val="center"/>
    </w:pPr>
    <w:rPr>
      <w:rFonts w:hint="default"/>
      <w:sz w:val="18"/>
      <w:szCs w:val="18"/>
    </w:rPr>
  </w:style>
  <w:style w:type="paragraph" w:styleId="4">
    <w:name w:val="HTML Preformatted"/>
    <w:basedOn w:val="1"/>
    <w:uiPriority w:val="0"/>
    <w:pPr>
      <w:keepNext w:val="0"/>
      <w:keepLines w:val="0"/>
      <w:widowControl w:val="0"/>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table" w:styleId="6">
    <w:name w:val="Table Grid"/>
    <w:basedOn w:val="5"/>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3.jpe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3</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lhfy</cp:lastModifiedBy>
  <dcterms:modified xsi:type="dcterms:W3CDTF">2026-10-09T09:31:49Z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FA17D1BF239586A20544C86ACC6C7B1E</vt:lpwstr>
  </property>
</Properties>
</file>